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25DF6" w:rsidP="00725DF6" w:rsidRDefault="00725DF6" w14:paraId="7D43EFFC" w14:textId="1197CF27">
      <w:pPr>
        <w:pStyle w:val="Heading1"/>
        <w:spacing w:after="152"/>
        <w:jc w:val="center"/>
        <w:rPr>
          <w:rFonts w:eastAsia="Calibri" w:asciiTheme="minorHAnsi" w:hAnsiTheme="minorHAnsi" w:cstheme="minorHAnsi"/>
          <w:b/>
          <w:bCs/>
          <w:color w:val="000000" w:themeColor="text1"/>
          <w:sz w:val="28"/>
          <w:szCs w:val="22"/>
          <w:u w:val="single"/>
        </w:rPr>
      </w:pPr>
      <w:r w:rsidRPr="00725DF6">
        <w:rPr>
          <w:rFonts w:asciiTheme="minorHAnsi" w:hAnsiTheme="minorHAnsi" w:cstheme="minorHAnsi"/>
          <w:noProof/>
          <w:sz w:val="40"/>
          <w:lang w:eastAsia="en-GB"/>
        </w:rPr>
        <w:drawing>
          <wp:anchor distT="0" distB="0" distL="114300" distR="114300" simplePos="0" relativeHeight="251661824" behindDoc="0" locked="0" layoutInCell="1" allowOverlap="1" wp14:anchorId="3812B3B2" wp14:editId="3B74FD02">
            <wp:simplePos x="0" y="0"/>
            <wp:positionH relativeFrom="column">
              <wp:posOffset>-300990</wp:posOffset>
            </wp:positionH>
            <wp:positionV relativeFrom="paragraph">
              <wp:posOffset>-307340</wp:posOffset>
            </wp:positionV>
            <wp:extent cx="2105394" cy="876300"/>
            <wp:effectExtent l="0" t="0" r="9525" b="0"/>
            <wp:wrapNone/>
            <wp:docPr id="460728820" name="Picture 460728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286" cy="87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5DF6" w:rsidP="538E96C7" w:rsidRDefault="00725DF6" w14:paraId="7CD7EE24" w14:textId="2B6B6FC5">
      <w:pPr>
        <w:pStyle w:val="Heading1"/>
        <w:spacing w:after="152"/>
        <w:jc w:val="center"/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/>
          <w:sz w:val="28"/>
          <w:szCs w:val="28"/>
          <w:u w:val="single"/>
        </w:rPr>
      </w:pPr>
      <w:r w:rsidRPr="799A6EF3" w:rsidR="00725DF6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ATTFE CEIAG </w:t>
      </w:r>
      <w:r w:rsidRPr="799A6EF3" w:rsidR="00725DF6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  <w:u w:val="single"/>
        </w:rPr>
        <w:t>Strategy</w:t>
      </w:r>
      <w:r w:rsidRPr="799A6EF3" w:rsidR="00F664ED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 </w:t>
      </w:r>
      <w:r w:rsidRPr="799A6EF3" w:rsidR="2DF723C2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  <w:u w:val="single"/>
        </w:rPr>
        <w:t>2025</w:t>
      </w:r>
      <w:r w:rsidRPr="799A6EF3" w:rsidR="00F664ED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 </w:t>
      </w:r>
      <w:r w:rsidRPr="799A6EF3" w:rsidR="53771AA0">
        <w:rPr>
          <w:rFonts w:ascii="Calibri" w:hAnsi="Calibri" w:eastAsia="Calibri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  <w:u w:val="single"/>
        </w:rPr>
        <w:t>- 2026</w:t>
      </w:r>
    </w:p>
    <w:p w:rsidR="00EA47ED" w:rsidP="00EA47ED" w:rsidRDefault="00EA47ED" w14:paraId="671149C2" w14:textId="77777777"/>
    <w:p w:rsidRPr="00725DF6" w:rsidR="00725DF6" w:rsidP="00725DF6" w:rsidRDefault="00725DF6" w14:paraId="02D7DA03" w14:textId="26237D5E">
      <w:pPr>
        <w:rPr>
          <w:rFonts w:cstheme="minorHAnsi"/>
        </w:rPr>
      </w:pPr>
      <w:r w:rsidRPr="00725DF6">
        <w:rPr>
          <w:rFonts w:cstheme="minorHAnsi"/>
        </w:rPr>
        <w:t xml:space="preserve">ATTFE is passionate </w:t>
      </w:r>
      <w:r w:rsidR="007030F4">
        <w:rPr>
          <w:rFonts w:cstheme="minorHAnsi"/>
        </w:rPr>
        <w:t>about supporting</w:t>
      </w:r>
      <w:r w:rsidRPr="00725DF6">
        <w:rPr>
          <w:rFonts w:cstheme="minorHAnsi"/>
        </w:rPr>
        <w:t xml:space="preserve"> its community and its learners and </w:t>
      </w:r>
      <w:r w:rsidR="007030F4">
        <w:rPr>
          <w:rFonts w:cstheme="minorHAnsi"/>
        </w:rPr>
        <w:t>about promoting</w:t>
      </w:r>
      <w:r w:rsidRPr="00725DF6">
        <w:rPr>
          <w:rFonts w:cstheme="minorHAnsi"/>
        </w:rPr>
        <w:t xml:space="preserve"> lifelong learning in their day</w:t>
      </w:r>
      <w:r w:rsidR="007030F4">
        <w:rPr>
          <w:rFonts w:cstheme="minorHAnsi"/>
        </w:rPr>
        <w:t>-</w:t>
      </w:r>
      <w:r w:rsidRPr="00725DF6">
        <w:rPr>
          <w:rFonts w:cstheme="minorHAnsi"/>
        </w:rPr>
        <w:t>to</w:t>
      </w:r>
      <w:r w:rsidR="007030F4">
        <w:rPr>
          <w:rFonts w:cstheme="minorHAnsi"/>
        </w:rPr>
        <w:t>-</w:t>
      </w:r>
      <w:r w:rsidRPr="00725DF6">
        <w:rPr>
          <w:rFonts w:cstheme="minorHAnsi"/>
        </w:rPr>
        <w:t>day lives.  Learning about career pathways is a key area in which we can improve the life chances of our learners.</w:t>
      </w:r>
    </w:p>
    <w:p w:rsidRPr="00725DF6" w:rsidR="00725DF6" w:rsidP="5D5E540D" w:rsidRDefault="00725DF6" w14:paraId="2DD34D2E" w14:textId="5D53629D" w14:noSpellErr="1">
      <w:pPr>
        <w:rPr>
          <w:color w:val="7030A0"/>
        </w:rPr>
      </w:pPr>
      <w:r w:rsidR="00725DF6">
        <w:rPr/>
        <w:t>Learners use the CDI Careers Framework in their day</w:t>
      </w:r>
      <w:r w:rsidR="007030F4">
        <w:rPr/>
        <w:t>-</w:t>
      </w:r>
      <w:r w:rsidR="00725DF6">
        <w:rPr/>
        <w:t>to</w:t>
      </w:r>
      <w:r w:rsidR="007030F4">
        <w:rPr/>
        <w:t>-</w:t>
      </w:r>
      <w:r w:rsidR="00725DF6">
        <w:rPr/>
        <w:t xml:space="preserve">day learning to </w:t>
      </w:r>
      <w:r w:rsidR="00725DF6">
        <w:rPr/>
        <w:t>establish</w:t>
      </w:r>
      <w:r w:rsidR="00725DF6">
        <w:rPr/>
        <w:t xml:space="preserve"> good habits </w:t>
      </w:r>
      <w:r w:rsidR="007030F4">
        <w:rPr/>
        <w:t>in</w:t>
      </w:r>
      <w:r w:rsidR="00725DF6">
        <w:rPr/>
        <w:t xml:space="preserve"> preparing for their next steps</w:t>
      </w:r>
      <w:r w:rsidR="00725DF6">
        <w:rPr/>
        <w:t xml:space="preserve">.  </w:t>
      </w:r>
      <w:r w:rsidR="00725DF6">
        <w:rPr/>
        <w:t xml:space="preserve">The Framework </w:t>
      </w:r>
      <w:r w:rsidR="00725DF6">
        <w:rPr/>
        <w:t>assists</w:t>
      </w:r>
      <w:r w:rsidR="00725DF6">
        <w:rPr/>
        <w:t xml:space="preserve"> learners to recognise what key skills are, </w:t>
      </w:r>
      <w:r w:rsidR="00980DB4">
        <w:rPr/>
        <w:t xml:space="preserve">and </w:t>
      </w:r>
      <w:r w:rsidR="00725DF6">
        <w:rPr/>
        <w:t xml:space="preserve">how </w:t>
      </w:r>
      <w:r w:rsidR="00980DB4">
        <w:rPr/>
        <w:t>they</w:t>
      </w:r>
      <w:r w:rsidR="00725DF6">
        <w:rPr/>
        <w:t xml:space="preserve"> can use networks to promote their own career</w:t>
      </w:r>
      <w:r w:rsidR="00980DB4">
        <w:rPr/>
        <w:t>. They engage in</w:t>
      </w:r>
      <w:r w:rsidR="00725DF6">
        <w:rPr/>
        <w:t xml:space="preserve"> employment/learning preparation using career management tools, looking at widening their opportunities to be aware of what is happening in the labour market </w:t>
      </w:r>
      <w:r w:rsidRPr="538E96C7" w:rsidR="00044C4D">
        <w:rPr>
          <w:color w:val="auto"/>
        </w:rPr>
        <w:t>both locally and</w:t>
      </w:r>
      <w:r w:rsidRPr="538E96C7" w:rsidR="00044C4D">
        <w:rPr>
          <w:color w:val="538135" w:themeColor="accent6" w:themeTint="FF" w:themeShade="BF"/>
        </w:rPr>
        <w:t xml:space="preserve"> </w:t>
      </w:r>
      <w:r w:rsidR="00725DF6">
        <w:rPr/>
        <w:t>nationally</w:t>
      </w:r>
      <w:r w:rsidR="00725DF6">
        <w:rPr/>
        <w:t xml:space="preserve">.  </w:t>
      </w:r>
      <w:r w:rsidR="00725DF6">
        <w:rPr/>
        <w:t xml:space="preserve">The CDI framework is used by ATTFE to support learners in </w:t>
      </w:r>
      <w:r w:rsidR="00725DF6">
        <w:rPr/>
        <w:t>establishing</w:t>
      </w:r>
      <w:r w:rsidR="00725DF6">
        <w:rPr/>
        <w:t xml:space="preserve"> and building good habits to prepare them for their next steps</w:t>
      </w:r>
      <w:r w:rsidRPr="538E96C7" w:rsidR="00725DF6">
        <w:rPr>
          <w:color w:val="7030A0"/>
        </w:rPr>
        <w:t>.</w:t>
      </w:r>
    </w:p>
    <w:p w:rsidRPr="004F44CB" w:rsidR="004F44CB" w:rsidP="5E74B02B" w:rsidRDefault="004F44CB" w14:paraId="11FE4D9D" w14:textId="7F0A749A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 w:themeColor="accent1" w:themeTint="FF" w:themeShade="FF"/>
          <w:sz w:val="22"/>
          <w:szCs w:val="22"/>
          <w:lang w:val="en-GB"/>
        </w:rPr>
      </w:pP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43956"/>
          <w:sz w:val="22"/>
          <w:szCs w:val="22"/>
          <w:lang w:val="en-GB"/>
        </w:rPr>
        <w:t>‘</w:t>
      </w: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As Chair of the Careers and Enterprise Company (CEC) and an Ambassador for the Skills and Education Group Foundation, I am committed to social justice and increased social mobility and I recognise the huge role modern careers support across all ages can play in that. The need for careers guidance </w:t>
      </w: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>doesn’t</w:t>
      </w: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end at the age of 18.</w:t>
      </w:r>
    </w:p>
    <w:p w:rsidRPr="004F44CB" w:rsidR="004F44CB" w:rsidP="5E74B02B" w:rsidRDefault="004F44CB" w14:paraId="0BA4E5CE" w14:textId="162FFBCB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 w:themeColor="accent1" w:themeTint="FF" w:themeShade="FF"/>
          <w:sz w:val="22"/>
          <w:szCs w:val="22"/>
          <w:lang w:val="en-GB"/>
        </w:rPr>
      </w:pP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</w:p>
    <w:p w:rsidRPr="004F44CB" w:rsidR="004F44CB" w:rsidP="5E74B02B" w:rsidRDefault="004F44CB" w14:paraId="2804BC53" w14:textId="14386A8E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 w:themeColor="accent1" w:themeTint="FF" w:themeShade="FF"/>
          <w:sz w:val="22"/>
          <w:szCs w:val="22"/>
          <w:lang w:val="en-GB"/>
        </w:rPr>
      </w:pP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>A single unified careers system, rich with skills, training and workplace experiences can catalyse social justice and ensure employers and individuals – young people and adults – can fulfil and raise their ambitions.</w:t>
      </w:r>
    </w:p>
    <w:p w:rsidRPr="004F44CB" w:rsidR="004F44CB" w:rsidP="5E74B02B" w:rsidRDefault="004F44CB" w14:paraId="3CD3536A" w14:textId="72E96177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 w:themeColor="accent1" w:themeTint="FF" w:themeShade="FF"/>
          <w:sz w:val="22"/>
          <w:szCs w:val="22"/>
          <w:lang w:val="en-GB"/>
        </w:rPr>
      </w:pP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</w:p>
    <w:p w:rsidRPr="004F44CB" w:rsidR="004F44CB" w:rsidP="5E74B02B" w:rsidRDefault="004F44CB" w14:paraId="1803F5B2" w14:textId="7B3B2F95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 w:themeColor="accent1" w:themeTint="FF" w:themeShade="FF"/>
          <w:sz w:val="22"/>
          <w:szCs w:val="22"/>
          <w:lang w:val="en-GB"/>
        </w:rPr>
      </w:pP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>This will not be a one size fits all, but a multi-layered system, not least because the evidence shows the greatest impact on outcomes is when multiple ingredients are combined with each other over a sustained period and with continued focus on raising quality.</w:t>
      </w:r>
    </w:p>
    <w:p w:rsidRPr="004F44CB" w:rsidR="004F44CB" w:rsidP="5E74B02B" w:rsidRDefault="004F44CB" w14:paraId="6F8BBF3B" w14:textId="6537B9AD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 w:themeColor="accent1" w:themeTint="FF" w:themeShade="FF"/>
          <w:sz w:val="22"/>
          <w:szCs w:val="22"/>
          <w:lang w:val="en-GB"/>
        </w:rPr>
      </w:pP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</w:p>
    <w:p w:rsidRPr="004F44CB" w:rsidR="004F44CB" w:rsidP="5E74B02B" w:rsidRDefault="004F44CB" w14:paraId="3280ABDC" w14:textId="2F7797D6">
      <w:p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4471C4" w:themeColor="accent1" w:themeTint="FF" w:themeShade="FF"/>
          <w:sz w:val="22"/>
          <w:szCs w:val="22"/>
          <w:lang w:val="en-GB"/>
        </w:rPr>
      </w:pP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It also needs to be a system that prioritises the need to connect the right people with the right opportunities for them. One that considers what that person would </w:t>
      </w: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>actually like</w:t>
      </w: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to do and where their talent can flourish. We need to recognise that a job </w:t>
      </w: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>provides</w:t>
      </w: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more than financial income. It also </w:t>
      </w: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>provides</w:t>
      </w: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self-respect, purpose and a place in the local community and wider society.’ Skills and Education Group,</w:t>
      </w:r>
      <w:r w:rsidRPr="5E74B02B" w:rsidR="0E831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4471C4"/>
          <w:sz w:val="22"/>
          <w:szCs w:val="22"/>
          <w:lang w:val="en-GB"/>
        </w:rPr>
        <w:t xml:space="preserve"> </w:t>
      </w:r>
    </w:p>
    <w:p w:rsidRPr="004F44CB" w:rsidR="004F44CB" w:rsidP="4ACF73B5" w:rsidRDefault="004F44CB" w14:paraId="6B1E56FF" w14:textId="2AB6E6DA">
      <w:pPr>
        <w:shd w:val="clear" w:color="auto" w:fill="043956"/>
        <w:spacing w:before="0" w:beforeAutospacing="off" w:after="0" w:afterAutospacing="off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4472C4" w:themeColor="accent1" w:themeTint="FF" w:themeShade="FF"/>
          <w:sz w:val="22"/>
          <w:szCs w:val="22"/>
          <w:lang w:val="en-GB"/>
        </w:rPr>
      </w:pPr>
      <w:r w:rsidRPr="4ACF73B5" w:rsidR="0E831B3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4472C4" w:themeColor="accent1" w:themeTint="FF" w:themeShade="FF"/>
          <w:sz w:val="22"/>
          <w:szCs w:val="22"/>
          <w:lang w:val="en-GB"/>
        </w:rPr>
        <w:t xml:space="preserve">Realising the vision for all-age careers </w:t>
      </w:r>
      <w:r w:rsidRPr="4ACF73B5" w:rsidR="0E831B32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4472C4" w:themeColor="accent1" w:themeTint="FF" w:themeShade="FF"/>
          <w:sz w:val="22"/>
          <w:szCs w:val="22"/>
          <w:lang w:val="en-GB"/>
        </w:rPr>
        <w:t>provision, by Baroness Morgan of Cotes</w:t>
      </w:r>
    </w:p>
    <w:p w:rsidRPr="004F44CB" w:rsidR="00725DF6" w:rsidP="51891460" w:rsidRDefault="00725DF6" w14:paraId="2F9C67DE" w14:textId="6F619B34">
      <w:pPr>
        <w:rPr>
          <w:color w:val="auto"/>
        </w:rPr>
      </w:pPr>
      <w:r w:rsidRPr="51891460" w:rsidR="0E831B32">
        <w:rPr>
          <w:color w:val="auto"/>
        </w:rPr>
        <w:t>1</w:t>
      </w:r>
      <w:r w:rsidRPr="51891460" w:rsidR="0E831B32">
        <w:rPr>
          <w:color w:val="auto"/>
        </w:rPr>
        <w:t>6/01/2021</w:t>
      </w:r>
      <w:r w:rsidRPr="51891460" w:rsidR="2403AD05">
        <w:rPr>
          <w:color w:val="auto"/>
        </w:rPr>
        <w:t xml:space="preserve"> </w:t>
      </w:r>
    </w:p>
    <w:p w:rsidRPr="00725DF6" w:rsidR="00725DF6" w:rsidP="00725DF6" w:rsidRDefault="00725DF6" w14:paraId="176EC045" w14:textId="690B88D6">
      <w:pPr>
        <w:rPr>
          <w:rFonts w:cstheme="minorHAnsi"/>
          <w:b/>
        </w:rPr>
      </w:pPr>
      <w:r w:rsidRPr="00725DF6">
        <w:rPr>
          <w:rFonts w:cstheme="minorHAnsi"/>
          <w:b/>
        </w:rPr>
        <w:t>Intent:</w:t>
      </w:r>
    </w:p>
    <w:p w:rsidRPr="00725DF6" w:rsidR="00725DF6" w:rsidP="5D5E540D" w:rsidRDefault="00725DF6" w14:paraId="0ED2CDC4" w14:textId="5F9098A5">
      <w:pPr>
        <w:pStyle w:val="ListParagraph"/>
        <w:numPr>
          <w:ilvl w:val="0"/>
          <w:numId w:val="6"/>
        </w:numPr>
        <w:spacing w:after="0"/>
        <w:rPr/>
      </w:pPr>
      <w:r w:rsidR="00725DF6">
        <w:rPr/>
        <w:t xml:space="preserve">To ensure that all learners </w:t>
      </w:r>
      <w:r w:rsidR="6AD8E8D2">
        <w:rPr/>
        <w:t xml:space="preserve">(including SEND) </w:t>
      </w:r>
      <w:r w:rsidR="00725DF6">
        <w:rPr/>
        <w:t xml:space="preserve">have </w:t>
      </w:r>
      <w:r w:rsidR="00725DF6">
        <w:rPr/>
        <w:t>a good quality</w:t>
      </w:r>
      <w:r w:rsidR="00725DF6">
        <w:rPr/>
        <w:t xml:space="preserve"> CEIAG service available to them. The range of CEIAG services will reflect the diversity of learner needs. </w:t>
      </w:r>
    </w:p>
    <w:p w:rsidRPr="00725DF6" w:rsidR="00725DF6" w:rsidP="00725DF6" w:rsidRDefault="00725DF6" w14:paraId="482CA29B" w14:textId="7777777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76" w:lineRule="auto"/>
        <w:rPr>
          <w:rFonts w:cstheme="minorHAnsi"/>
          <w:color w:val="0A0A0A"/>
        </w:rPr>
      </w:pPr>
      <w:r w:rsidRPr="00725DF6">
        <w:rPr>
          <w:rFonts w:eastAsia="Calibri" w:cstheme="minorHAnsi"/>
        </w:rPr>
        <w:t>To have suitably qualified and skilled staff to deliver CEAIG services a</w:t>
      </w:r>
      <w:r w:rsidRPr="00725DF6">
        <w:rPr>
          <w:rFonts w:cstheme="minorHAnsi"/>
          <w:color w:val="0A0A0A"/>
        </w:rPr>
        <w:t>nd who have access to up-to-date information to support the delivery of an effective CEIAG service together with information to enable signposting to external providers.</w:t>
      </w:r>
    </w:p>
    <w:p w:rsidRPr="00725DF6" w:rsidR="00725DF6" w:rsidP="5D5E540D" w:rsidRDefault="00725DF6" w14:paraId="7366FC4E" w14:textId="2ED0D931">
      <w:pPr>
        <w:pStyle w:val="ListParagraph"/>
        <w:numPr>
          <w:ilvl w:val="0"/>
          <w:numId w:val="6"/>
        </w:numPr>
        <w:spacing w:after="0"/>
      </w:pPr>
      <w:r w:rsidRPr="5D5E540D">
        <w:t xml:space="preserve">To maintain </w:t>
      </w:r>
      <w:r w:rsidRPr="5D5E540D" w:rsidR="00980DB4">
        <w:rPr>
          <w:b/>
          <w:bCs/>
        </w:rPr>
        <w:t>m</w:t>
      </w:r>
      <w:r w:rsidRPr="5D5E540D">
        <w:rPr>
          <w:b/>
          <w:bCs/>
        </w:rPr>
        <w:t>atrix</w:t>
      </w:r>
      <w:r w:rsidRPr="5D5E540D">
        <w:t xml:space="preserve"> accreditation and make further improvements based on </w:t>
      </w:r>
      <w:r w:rsidRPr="5D5E540D" w:rsidR="00980DB4">
        <w:rPr>
          <w:b/>
          <w:bCs/>
        </w:rPr>
        <w:t>m</w:t>
      </w:r>
      <w:r w:rsidRPr="5D5E540D">
        <w:rPr>
          <w:b/>
          <w:bCs/>
        </w:rPr>
        <w:t>atrix</w:t>
      </w:r>
      <w:r w:rsidRPr="5D5E540D">
        <w:t xml:space="preserve"> recommendations.</w:t>
      </w:r>
    </w:p>
    <w:p w:rsidRPr="00725DF6" w:rsidR="00725DF6" w:rsidP="1AF26830" w:rsidRDefault="00725DF6" w14:paraId="50EA4109" w14:textId="2DA4F601">
      <w:pPr>
        <w:pStyle w:val="Heading1"/>
        <w:numPr>
          <w:ilvl w:val="0"/>
          <w:numId w:val="6"/>
        </w:numPr>
        <w:spacing w:before="0"/>
        <w:rPr>
          <w:rFonts w:ascii="Calibri" w:hAnsi="Calibri" w:eastAsia="Calibri" w:cs="Calibri" w:asciiTheme="minorAscii" w:hAnsiTheme="minorAscii" w:cstheme="minorAscii"/>
          <w:color w:val="auto"/>
          <w:sz w:val="22"/>
          <w:szCs w:val="22"/>
        </w:rPr>
      </w:pPr>
      <w:r w:rsidRPr="1AF26830" w:rsidR="00725DF6">
        <w:rPr>
          <w:rFonts w:ascii="Calibri" w:hAnsi="Calibri" w:eastAsia="Calibri" w:cs="Calibri" w:asciiTheme="minorAscii" w:hAnsiTheme="minorAscii" w:cstheme="minorAscii"/>
          <w:color w:val="auto"/>
          <w:sz w:val="22"/>
          <w:szCs w:val="22"/>
        </w:rPr>
        <w:t xml:space="preserve">ATTFE works with all learners </w:t>
      </w:r>
      <w:r w:rsidRPr="1AF26830" w:rsidR="6468372B">
        <w:rPr>
          <w:rFonts w:ascii="Calibri" w:hAnsi="Calibri" w:eastAsia="Calibri" w:cs="Calibri" w:asciiTheme="minorAscii" w:hAnsiTheme="minorAscii" w:cstheme="minorAscii"/>
          <w:color w:val="auto"/>
          <w:sz w:val="22"/>
          <w:szCs w:val="22"/>
        </w:rPr>
        <w:t xml:space="preserve">(including SEND) </w:t>
      </w:r>
      <w:r w:rsidRPr="1AF26830" w:rsidR="00725DF6">
        <w:rPr>
          <w:rFonts w:ascii="Calibri" w:hAnsi="Calibri" w:eastAsia="Calibri" w:cs="Calibri" w:asciiTheme="minorAscii" w:hAnsiTheme="minorAscii" w:cstheme="minorAscii"/>
          <w:color w:val="auto"/>
          <w:sz w:val="22"/>
          <w:szCs w:val="22"/>
        </w:rPr>
        <w:t>to ensure that they have a goal and are supported and motivated to work towards their goal whether they stay with ATTFE or choose another route.</w:t>
      </w:r>
    </w:p>
    <w:p w:rsidRPr="00725DF6" w:rsidR="00725DF6" w:rsidP="1AF26830" w:rsidRDefault="00725DF6" w14:paraId="45CDC41F" w14:textId="62F27BBA">
      <w:pPr>
        <w:pStyle w:val="ListParagraph"/>
        <w:numPr>
          <w:ilvl w:val="0"/>
          <w:numId w:val="6"/>
        </w:numPr>
        <w:spacing w:after="0"/>
        <w:rPr>
          <w:rFonts w:cs="Calibri" w:cstheme="minorAscii"/>
        </w:rPr>
      </w:pPr>
      <w:r w:rsidRPr="1AF26830" w:rsidR="00725DF6">
        <w:rPr>
          <w:rFonts w:cs="Calibri" w:cstheme="minorAscii"/>
        </w:rPr>
        <w:t xml:space="preserve">To provide all learners and potential learners, particularly those with </w:t>
      </w:r>
      <w:r w:rsidRPr="1AF26830" w:rsidR="71999193">
        <w:rPr>
          <w:rFonts w:cs="Calibri" w:cstheme="minorAscii"/>
        </w:rPr>
        <w:t>SEND</w:t>
      </w:r>
      <w:r w:rsidRPr="1AF26830" w:rsidR="00980DB4">
        <w:rPr>
          <w:rFonts w:cs="Calibri" w:cstheme="minorAscii"/>
        </w:rPr>
        <w:t>,</w:t>
      </w:r>
      <w:r w:rsidRPr="1AF26830" w:rsidR="00725DF6">
        <w:rPr>
          <w:rFonts w:cs="Calibri" w:cstheme="minorAscii"/>
        </w:rPr>
        <w:t xml:space="preserve"> the low skilled and the unemployed, with clear information and advice, including signposting to external providers </w:t>
      </w:r>
      <w:r w:rsidRPr="1AF26830" w:rsidR="00725DF6">
        <w:rPr>
          <w:rFonts w:cs="Calibri" w:cstheme="minorAscii"/>
        </w:rPr>
        <w:t>in order to</w:t>
      </w:r>
      <w:r w:rsidRPr="1AF26830" w:rsidR="00725DF6">
        <w:rPr>
          <w:rFonts w:cs="Calibri" w:cstheme="minorAscii"/>
        </w:rPr>
        <w:t xml:space="preserve"> empower them to make informed choices about their learning within and beyond the service.</w:t>
      </w:r>
    </w:p>
    <w:p w:rsidRPr="00725DF6" w:rsidR="00725DF6" w:rsidP="00725DF6" w:rsidRDefault="00725DF6" w14:paraId="01E9A88A" w14:textId="3887792F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725DF6">
        <w:rPr>
          <w:rFonts w:cstheme="minorHAnsi"/>
        </w:rPr>
        <w:t>To help learners plan their future learning to support their personal and work aspirations</w:t>
      </w:r>
      <w:r w:rsidR="00980DB4">
        <w:rPr>
          <w:rFonts w:cstheme="minorHAnsi"/>
        </w:rPr>
        <w:t>.</w:t>
      </w:r>
      <w:r w:rsidRPr="00725DF6">
        <w:rPr>
          <w:rFonts w:cstheme="minorHAnsi"/>
        </w:rPr>
        <w:t xml:space="preserve"> </w:t>
      </w:r>
      <w:r w:rsidR="00275478">
        <w:rPr>
          <w:rFonts w:ascii="Calibri" w:hAnsi="Calibri" w:cs="Calibri"/>
          <w:color w:val="000000"/>
          <w:shd w:val="clear" w:color="auto" w:fill="FFFFFF"/>
        </w:rPr>
        <w:t>Staff understand that effective CEIAG for learners is an important element of their wellbeing and personal development.</w:t>
      </w:r>
    </w:p>
    <w:p w:rsidRPr="00725DF6" w:rsidR="00725DF6" w:rsidP="00725DF6" w:rsidRDefault="00725DF6" w14:paraId="7BF37059" w14:textId="6B31BB8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725DF6">
        <w:rPr>
          <w:rFonts w:cstheme="minorHAnsi"/>
        </w:rPr>
        <w:t xml:space="preserve">To target CEIAG services at the needs of learners and </w:t>
      </w:r>
      <w:r w:rsidR="00980DB4">
        <w:rPr>
          <w:rFonts w:cstheme="minorHAnsi"/>
        </w:rPr>
        <w:t xml:space="preserve">to </w:t>
      </w:r>
      <w:r w:rsidRPr="00725DF6">
        <w:rPr>
          <w:rFonts w:cstheme="minorHAnsi"/>
        </w:rPr>
        <w:t>be informed by social and economic priorities at regional level.</w:t>
      </w:r>
    </w:p>
    <w:p w:rsidRPr="00725DF6" w:rsidR="00725DF6" w:rsidP="00725DF6" w:rsidRDefault="00725DF6" w14:paraId="452A0BB5" w14:textId="324D6B3A">
      <w:pPr>
        <w:pStyle w:val="ListParagraph"/>
        <w:numPr>
          <w:ilvl w:val="0"/>
          <w:numId w:val="6"/>
        </w:numPr>
        <w:rPr>
          <w:rFonts w:cstheme="minorHAnsi"/>
        </w:rPr>
      </w:pPr>
      <w:r w:rsidRPr="00725DF6">
        <w:rPr>
          <w:rFonts w:cstheme="minorHAnsi"/>
        </w:rPr>
        <w:lastRenderedPageBreak/>
        <w:t xml:space="preserve">To encourage and support </w:t>
      </w:r>
      <w:r w:rsidR="00980DB4">
        <w:rPr>
          <w:rFonts w:cstheme="minorHAnsi"/>
        </w:rPr>
        <w:t>local people</w:t>
      </w:r>
      <w:r w:rsidRPr="00725DF6">
        <w:rPr>
          <w:rFonts w:cstheme="minorHAnsi"/>
        </w:rPr>
        <w:t xml:space="preserve"> to become lifelong learners by enabling them to access and use information to plan their careers, supporting </w:t>
      </w:r>
      <w:r w:rsidR="00980DB4">
        <w:rPr>
          <w:rFonts w:cstheme="minorHAnsi"/>
        </w:rPr>
        <w:t>them</w:t>
      </w:r>
      <w:r w:rsidRPr="00725DF6">
        <w:rPr>
          <w:rFonts w:cstheme="minorHAnsi"/>
        </w:rPr>
        <w:t xml:space="preserve"> to explore the implications for learning and work in their future career plans.</w:t>
      </w:r>
    </w:p>
    <w:p w:rsidRPr="00725DF6" w:rsidR="00725DF6" w:rsidP="00725DF6" w:rsidRDefault="00725DF6" w14:paraId="2F150E47" w14:textId="0725C5FF">
      <w:pPr>
        <w:pStyle w:val="Heading1"/>
        <w:spacing w:after="152"/>
        <w:ind w:left="10" w:hanging="10"/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</w:pPr>
      <w:r w:rsidRPr="00725DF6">
        <w:rPr>
          <w:rFonts w:eastAsia="Calibri" w:asciiTheme="minorHAnsi" w:hAnsiTheme="minorHAnsi" w:cstheme="minorHAnsi"/>
          <w:b/>
          <w:color w:val="000000" w:themeColor="text1"/>
          <w:sz w:val="22"/>
          <w:szCs w:val="22"/>
        </w:rPr>
        <w:t>Implementation:</w:t>
      </w:r>
    </w:p>
    <w:p w:rsidRPr="00725DF6" w:rsidR="00725DF6" w:rsidP="00725DF6" w:rsidRDefault="00725DF6" w14:paraId="55D177AF" w14:textId="53A9F966">
      <w:pPr>
        <w:pStyle w:val="ListParagraph"/>
        <w:numPr>
          <w:ilvl w:val="0"/>
          <w:numId w:val="5"/>
        </w:numPr>
        <w:spacing w:after="0" w:line="260" w:lineRule="auto"/>
        <w:jc w:val="both"/>
        <w:rPr>
          <w:rFonts w:eastAsiaTheme="minorEastAsia" w:cstheme="minorHAnsi"/>
          <w:color w:val="000000" w:themeColor="text1"/>
        </w:rPr>
      </w:pPr>
      <w:r w:rsidRPr="00725DF6">
        <w:rPr>
          <w:rFonts w:eastAsia="Calibri" w:cstheme="minorHAnsi"/>
          <w:color w:val="000000" w:themeColor="text1"/>
        </w:rPr>
        <w:t xml:space="preserve">All colleagues </w:t>
      </w:r>
      <w:r w:rsidR="00980DB4">
        <w:rPr>
          <w:rFonts w:eastAsia="Calibri" w:cstheme="minorHAnsi"/>
          <w:color w:val="000000" w:themeColor="text1"/>
        </w:rPr>
        <w:t>in</w:t>
      </w:r>
      <w:r w:rsidRPr="00725DF6">
        <w:rPr>
          <w:rFonts w:eastAsia="Calibri" w:cstheme="minorHAnsi"/>
          <w:color w:val="000000" w:themeColor="text1"/>
        </w:rPr>
        <w:t xml:space="preserve"> ATTFE are responsible for supporting learners to access careers information and support</w:t>
      </w:r>
      <w:r w:rsidR="00980DB4">
        <w:rPr>
          <w:rFonts w:eastAsia="Calibri" w:cstheme="minorHAnsi"/>
          <w:color w:val="000000" w:themeColor="text1"/>
        </w:rPr>
        <w:t>.</w:t>
      </w:r>
      <w:r w:rsidRPr="00725DF6">
        <w:rPr>
          <w:rFonts w:eastAsia="Calibri" w:cstheme="minorHAnsi"/>
          <w:color w:val="000000" w:themeColor="text1"/>
        </w:rPr>
        <w:t xml:space="preserve"> This is through pre-course information, tutors providing information relevant to their subject, resources, and referral to the Careers Team. </w:t>
      </w:r>
    </w:p>
    <w:p w:rsidRPr="00725DF6" w:rsidR="00725DF6" w:rsidP="00725DF6" w:rsidRDefault="00725DF6" w14:paraId="19F8EBF8" w14:textId="3901736D">
      <w:pPr>
        <w:pStyle w:val="ListParagraph"/>
        <w:numPr>
          <w:ilvl w:val="0"/>
          <w:numId w:val="5"/>
        </w:numPr>
        <w:spacing w:after="0" w:line="260" w:lineRule="auto"/>
        <w:jc w:val="both"/>
        <w:rPr>
          <w:rFonts w:eastAsiaTheme="minorEastAsia" w:cstheme="minorHAnsi"/>
          <w:color w:val="000000" w:themeColor="text1"/>
        </w:rPr>
      </w:pPr>
      <w:r w:rsidRPr="00725DF6">
        <w:rPr>
          <w:rFonts w:eastAsia="Calibri" w:cstheme="minorHAnsi"/>
          <w:color w:val="000000" w:themeColor="text1"/>
        </w:rPr>
        <w:t xml:space="preserve">All members of staff have access to potential learners/current </w:t>
      </w:r>
      <w:proofErr w:type="gramStart"/>
      <w:r w:rsidRPr="00725DF6">
        <w:rPr>
          <w:rFonts w:eastAsia="Calibri" w:cstheme="minorHAnsi"/>
          <w:color w:val="000000" w:themeColor="text1"/>
        </w:rPr>
        <w:t>learners</w:t>
      </w:r>
      <w:proofErr w:type="gramEnd"/>
      <w:r w:rsidRPr="00725DF6">
        <w:rPr>
          <w:rFonts w:eastAsia="Calibri" w:cstheme="minorHAnsi"/>
          <w:color w:val="000000" w:themeColor="text1"/>
        </w:rPr>
        <w:t xml:space="preserve"> and each has a responsibility to support them.  This </w:t>
      </w:r>
      <w:r w:rsidR="00980DB4">
        <w:rPr>
          <w:rFonts w:eastAsia="Calibri" w:cstheme="minorHAnsi"/>
          <w:color w:val="000000" w:themeColor="text1"/>
        </w:rPr>
        <w:t>is</w:t>
      </w:r>
      <w:r w:rsidRPr="00725DF6">
        <w:rPr>
          <w:rFonts w:eastAsia="Calibri" w:cstheme="minorHAnsi"/>
          <w:color w:val="000000" w:themeColor="text1"/>
        </w:rPr>
        <w:t xml:space="preserve"> through telephone enquiries, data collection and awarding body input.</w:t>
      </w:r>
    </w:p>
    <w:p w:rsidRPr="00725DF6" w:rsidR="00725DF6" w:rsidP="1AF26830" w:rsidRDefault="00725DF6" w14:paraId="14A5C7DB" w14:textId="6208CA38">
      <w:pPr>
        <w:pStyle w:val="ListParagraph"/>
        <w:numPr>
          <w:ilvl w:val="0"/>
          <w:numId w:val="5"/>
        </w:numPr>
        <w:spacing w:after="0" w:line="260" w:lineRule="auto"/>
        <w:jc w:val="both"/>
        <w:rPr>
          <w:rFonts w:eastAsia="" w:eastAsiaTheme="minorEastAsia"/>
          <w:color w:val="000000" w:themeColor="text1"/>
        </w:rPr>
      </w:pPr>
      <w:r w:rsidRPr="1AF26830" w:rsidR="00725DF6">
        <w:rPr>
          <w:rFonts w:eastAsia="Calibri"/>
          <w:color w:val="000000" w:themeColor="text1" w:themeTint="FF" w:themeShade="FF"/>
        </w:rPr>
        <w:t xml:space="preserve">ATTFE staff </w:t>
      </w:r>
      <w:r w:rsidRPr="1AF26830" w:rsidR="00725DF6">
        <w:rPr>
          <w:rFonts w:eastAsia="Calibri"/>
          <w:color w:val="000000" w:themeColor="text1" w:themeTint="FF" w:themeShade="FF"/>
        </w:rPr>
        <w:t>are responsible for</w:t>
      </w:r>
      <w:r w:rsidRPr="1AF26830" w:rsidR="00725DF6">
        <w:rPr>
          <w:rFonts w:eastAsia="Calibri"/>
          <w:color w:val="000000" w:themeColor="text1" w:themeTint="FF" w:themeShade="FF"/>
        </w:rPr>
        <w:t xml:space="preserve"> sharing a range of information with learners </w:t>
      </w:r>
      <w:r w:rsidRPr="1AF26830" w:rsidR="6616F1A4">
        <w:rPr>
          <w:rFonts w:eastAsia="Calibri"/>
          <w:color w:val="000000" w:themeColor="text1" w:themeTint="FF" w:themeShade="FF"/>
        </w:rPr>
        <w:t xml:space="preserve">(including SEND) </w:t>
      </w:r>
      <w:r w:rsidRPr="1AF26830" w:rsidR="00725DF6">
        <w:rPr>
          <w:rFonts w:eastAsia="Calibri"/>
          <w:color w:val="000000" w:themeColor="text1" w:themeTint="FF" w:themeShade="FF"/>
        </w:rPr>
        <w:t xml:space="preserve">about </w:t>
      </w:r>
      <w:r w:rsidRPr="1AF26830" w:rsidR="00725DF6">
        <w:rPr>
          <w:rFonts w:eastAsia="Calibri"/>
          <w:color w:val="000000" w:themeColor="text1" w:themeTint="FF" w:themeShade="FF"/>
        </w:rPr>
        <w:t>possible pathways</w:t>
      </w:r>
      <w:r w:rsidRPr="1AF26830" w:rsidR="00725DF6">
        <w:rPr>
          <w:rFonts w:eastAsia="Calibri"/>
          <w:color w:val="000000" w:themeColor="text1" w:themeTint="FF" w:themeShade="FF"/>
        </w:rPr>
        <w:t xml:space="preserve"> within their subject(s) and ensuring that they are aware of the up-to-date routes and information that they are providing to their learners.  </w:t>
      </w:r>
    </w:p>
    <w:p w:rsidRPr="00725DF6" w:rsidR="00725DF6" w:rsidP="538E96C7" w:rsidRDefault="00725DF6" w14:paraId="519E6885" w14:textId="4FB57033">
      <w:pPr>
        <w:pStyle w:val="ListParagraph"/>
        <w:numPr>
          <w:ilvl w:val="0"/>
          <w:numId w:val="5"/>
        </w:numPr>
        <w:spacing w:after="36" w:line="260" w:lineRule="auto"/>
        <w:rPr>
          <w:rFonts w:eastAsia="" w:eastAsiaTheme="minorEastAsia"/>
          <w:color w:val="000000" w:themeColor="text1"/>
        </w:rPr>
      </w:pPr>
      <w:r w:rsidRPr="1AF26830" w:rsidR="3C275E33">
        <w:rPr>
          <w:rFonts w:eastAsia="" w:cs="Calibri" w:eastAsiaTheme="minorEastAsia" w:cstheme="minorAscii"/>
          <w:color w:val="auto"/>
        </w:rPr>
        <w:t xml:space="preserve">Ongoing staff development </w:t>
      </w:r>
      <w:r w:rsidRPr="1AF26830" w:rsidR="3F6FF232">
        <w:rPr>
          <w:rFonts w:eastAsia="" w:cs="Calibri" w:eastAsiaTheme="minorEastAsia" w:cstheme="minorAscii"/>
          <w:color w:val="auto"/>
        </w:rPr>
        <w:t>within</w:t>
      </w:r>
      <w:r w:rsidRPr="1AF26830" w:rsidR="3C275E33">
        <w:rPr>
          <w:rFonts w:eastAsia="" w:cs="Calibri" w:eastAsiaTheme="minorEastAsia" w:cstheme="minorAscii"/>
          <w:color w:val="auto"/>
        </w:rPr>
        <w:t xml:space="preserve"> the Careers Team</w:t>
      </w:r>
      <w:r w:rsidRPr="1AF26830" w:rsidR="2CC06128">
        <w:rPr>
          <w:rFonts w:eastAsia="" w:cs="Calibri" w:eastAsiaTheme="minorEastAsia" w:cstheme="minorAscii"/>
          <w:color w:val="auto"/>
        </w:rPr>
        <w:t xml:space="preserve"> and support for all staff members</w:t>
      </w:r>
      <w:r w:rsidRPr="1AF26830" w:rsidR="2CC06128">
        <w:rPr>
          <w:rFonts w:eastAsia="" w:cs="Calibri" w:eastAsiaTheme="minorEastAsia" w:cstheme="minorAscii"/>
          <w:color w:val="auto"/>
        </w:rPr>
        <w:t>.</w:t>
      </w:r>
      <w:r w:rsidRPr="1AF26830" w:rsidR="3C275E33">
        <w:rPr>
          <w:rFonts w:eastAsia="" w:cs="Calibri" w:eastAsiaTheme="minorEastAsia" w:cstheme="minorAscii"/>
          <w:color w:val="auto"/>
        </w:rPr>
        <w:t xml:space="preserve">  </w:t>
      </w:r>
    </w:p>
    <w:p w:rsidRPr="00725DF6" w:rsidR="00725DF6" w:rsidP="538E96C7" w:rsidRDefault="00725DF6" w14:paraId="4FBA3752" w14:textId="7091085C">
      <w:pPr>
        <w:pStyle w:val="ListParagraph"/>
        <w:numPr>
          <w:ilvl w:val="0"/>
          <w:numId w:val="5"/>
        </w:numPr>
        <w:spacing w:after="36" w:line="260" w:lineRule="auto"/>
        <w:rPr>
          <w:rFonts w:eastAsia="" w:eastAsiaTheme="minorEastAsia"/>
          <w:color w:val="000000" w:themeColor="text1"/>
        </w:rPr>
      </w:pPr>
      <w:r w:rsidRPr="5D5E540D" w:rsidR="00725DF6">
        <w:rPr>
          <w:rFonts w:eastAsia="Calibri"/>
          <w:color w:val="000000" w:themeColor="text1"/>
        </w:rPr>
        <w:t xml:space="preserve">ATTFE </w:t>
      </w:r>
      <w:r w:rsidRPr="5D5E540D" w:rsidR="00F62C7A">
        <w:rPr>
          <w:rFonts w:eastAsia="Calibri"/>
          <w:color w:val="000000" w:themeColor="text1"/>
        </w:rPr>
        <w:t>s</w:t>
      </w:r>
      <w:r w:rsidRPr="5D5E540D" w:rsidR="00725DF6">
        <w:rPr>
          <w:rFonts w:eastAsia="Calibri"/>
          <w:color w:val="000000" w:themeColor="text1"/>
        </w:rPr>
        <w:t xml:space="preserve">taff prepare our learners for their future transitions into study, </w:t>
      </w:r>
      <w:r w:rsidRPr="5D5E540D" w:rsidR="00725DF6">
        <w:rPr>
          <w:rFonts w:eastAsia="Calibri"/>
          <w:color w:val="000000" w:themeColor="text1"/>
        </w:rPr>
        <w:t>training</w:t>
      </w:r>
      <w:r w:rsidRPr="5D5E540D" w:rsidR="00725DF6">
        <w:rPr>
          <w:rFonts w:eastAsia="Calibri"/>
          <w:color w:val="000000" w:themeColor="text1"/>
        </w:rPr>
        <w:t xml:space="preserve"> </w:t>
      </w:r>
      <w:r w:rsidRPr="5D5E540D" w:rsidR="00F62C7A">
        <w:rPr>
          <w:rFonts w:eastAsia="Calibri"/>
          <w:color w:val="000000" w:themeColor="text1"/>
        </w:rPr>
        <w:t>and</w:t>
      </w:r>
      <w:r w:rsidRPr="5D5E540D" w:rsidR="00725DF6">
        <w:rPr>
          <w:rFonts w:eastAsia="Calibri"/>
          <w:color w:val="000000" w:themeColor="text1"/>
        </w:rPr>
        <w:t xml:space="preserve"> work opportunities</w:t>
      </w:r>
      <w:r w:rsidRPr="5D5E540D" w:rsidR="00F62C7A">
        <w:rPr>
          <w:rFonts w:eastAsia="Calibri"/>
          <w:color w:val="000000" w:themeColor="text1"/>
        </w:rPr>
        <w:t>. W</w:t>
      </w:r>
      <w:r w:rsidRPr="5D5E540D" w:rsidR="00725DF6">
        <w:rPr>
          <w:rFonts w:eastAsia="Calibri"/>
          <w:color w:val="000000" w:themeColor="text1"/>
        </w:rPr>
        <w:t xml:space="preserve">e offer a diverse curriculum across ATTFE which will allow learners to develop the skills and knowledge </w:t>
      </w:r>
      <w:r w:rsidRPr="5D5E540D" w:rsidR="00725DF6">
        <w:rPr>
          <w:rFonts w:eastAsia="Calibri"/>
          <w:color w:val="000000" w:themeColor="text1"/>
        </w:rPr>
        <w:t xml:space="preserve">required</w:t>
      </w:r>
      <w:r w:rsidRPr="5D5E540D" w:rsidR="00725DF6">
        <w:rPr>
          <w:rFonts w:eastAsia="Calibri"/>
          <w:color w:val="000000" w:themeColor="text1"/>
        </w:rPr>
        <w:t xml:space="preserve"> to </w:t>
      </w:r>
      <w:r w:rsidRPr="5D5E540D" w:rsidR="00F62C7A">
        <w:rPr>
          <w:rFonts w:eastAsia="Calibri"/>
          <w:color w:val="000000" w:themeColor="text1"/>
        </w:rPr>
        <w:t>enjoy</w:t>
      </w:r>
      <w:r w:rsidRPr="5D5E540D" w:rsidR="00725DF6">
        <w:rPr>
          <w:rFonts w:eastAsia="Calibri"/>
          <w:color w:val="000000" w:themeColor="text1"/>
        </w:rPr>
        <w:t xml:space="preserve"> a positive career. </w:t>
      </w:r>
      <w:r w:rsidR="00275478">
        <w:rPr>
          <w:rFonts w:ascii="Calibri" w:hAnsi="Calibri" w:cs="Calibri"/>
          <w:color w:val="000000"/>
          <w:shd w:val="clear" w:color="auto" w:fill="FFFFFF"/>
        </w:rPr>
        <w:t xml:space="preserve">This curriculum specifically exposes local people to job and career knowledge and understanding.  This includes job- and trade-related vocational courses for 16-19 students and adults; employability and vocational introductory programmes for local labour market demand sectors; a</w:t>
      </w:r>
      <w:r w:rsidR="00275478">
        <w:rPr>
          <w:rFonts w:ascii="Calibri" w:hAnsi="Calibri" w:cs="Calibri"/>
          <w:color w:val="000000"/>
          <w:shd w:val="clear" w:color="auto" w:fill="FFFFFF"/>
        </w:rPr>
        <w:t xml:space="preserve">nd</w:t>
      </w:r>
      <w:r w:rsidRPr="2BBF1EEC" w:rsidR="00275478">
        <w:rPr>
          <w:rFonts w:ascii="Calibri" w:hAnsi="Calibri" w:cs="Calibri"/>
          <w:color w:val="000000" w:themeColor="text1" w:themeTint="FF" w:themeShade="FF"/>
          <w:shd w:val="clear" w:color="auto" w:fill="FFFFFF"/>
        </w:rPr>
        <w:t xml:space="preserve"> </w:t>
      </w:r>
      <w:r w:rsidRPr="2BBF1EEC" w:rsidR="00275478">
        <w:rPr>
          <w:rFonts w:ascii="Calibri" w:hAnsi="Calibri" w:cs="Calibri"/>
          <w:b w:val="0"/>
          <w:bCs w:val="0"/>
          <w:color w:val="000000" w:themeColor="text1" w:themeTint="FF" w:themeShade="FF"/>
          <w:shd w:val="clear" w:color="auto" w:fill="FFFFFF"/>
        </w:rPr>
        <w:t xml:space="preserve">sector-based work </w:t>
      </w:r>
      <w:r w:rsidRPr="2BBF1EEC" w:rsidR="00275478">
        <w:rPr>
          <w:rFonts w:ascii="Calibri" w:hAnsi="Calibri" w:cs="Calibri"/>
          <w:b w:val="0"/>
          <w:bCs w:val="0"/>
          <w:color w:val="000000" w:themeColor="text1" w:themeTint="FF" w:themeShade="FF"/>
          <w:shd w:val="clear" w:color="auto" w:fill="FFFFFF"/>
        </w:rPr>
        <w:t>academies</w:t>
      </w:r>
      <w:r w:rsidRPr="2BBF1EEC" w:rsidR="00275478">
        <w:rPr>
          <w:rFonts w:ascii="Calibri" w:hAnsi="Calibri" w:cs="Calibri"/>
          <w:color w:val="000000" w:themeColor="text1" w:themeTint="FF" w:themeShade="FF"/>
          <w:shd w:val="clear" w:color="auto" w:fill="FFFFFF"/>
        </w:rPr>
        <w:t xml:space="preserve"> </w:t>
      </w:r>
      <w:r w:rsidR="00275478">
        <w:rPr>
          <w:rFonts w:ascii="Calibri" w:hAnsi="Calibri" w:cs="Calibri"/>
          <w:color w:val="000000"/>
          <w:shd w:val="clear" w:color="auto" w:fill="FFFFFF"/>
        </w:rPr>
        <w:t>fo</w:t>
      </w:r>
      <w:r w:rsidR="00275478">
        <w:rPr>
          <w:rFonts w:ascii="Calibri" w:hAnsi="Calibri" w:cs="Calibri"/>
          <w:color w:val="000000"/>
          <w:shd w:val="clear" w:color="auto" w:fill="FFFFFF"/>
        </w:rPr>
        <w:t>r knowledge and understanding about specific sectors and employers.  At higher level 3 and above it also includes programmes for understanding about work in specific professions like the security industry and counselling.</w:t>
      </w:r>
    </w:p>
    <w:p w:rsidR="17DDD1CB" w:rsidP="799A6EF3" w:rsidRDefault="17DDD1CB" w14:paraId="3C76D798" w14:textId="2B67F505">
      <w:pPr>
        <w:pStyle w:val="ListParagraph"/>
        <w:numPr>
          <w:ilvl w:val="0"/>
          <w:numId w:val="5"/>
        </w:numPr>
        <w:spacing w:after="36" w:line="260" w:lineRule="auto"/>
        <w:rPr>
          <w:rFonts w:eastAsia="" w:eastAsiaTheme="minorEastAsia"/>
          <w:color w:val="000000" w:themeColor="text1" w:themeTint="FF" w:themeShade="FF"/>
        </w:rPr>
      </w:pPr>
      <w:r w:rsidRPr="799A6EF3" w:rsidR="17DDD1CB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Our Counselling Department now delivers access to Level five training for </w:t>
      </w:r>
      <w:r w:rsidRPr="799A6EF3" w:rsidR="659FFA51">
        <w:rPr>
          <w:rFonts w:ascii="Calibri" w:hAnsi="Calibri" w:eastAsia="" w:cs="Calibri" w:eastAsiaTheme="minorEastAsia"/>
          <w:color w:val="000000" w:themeColor="text1" w:themeTint="FF" w:themeShade="FF"/>
        </w:rPr>
        <w:t xml:space="preserve">a </w:t>
      </w:r>
      <w:r w:rsidRPr="799A6EF3" w:rsidR="17DDD1CB">
        <w:rPr>
          <w:rFonts w:ascii="Calibri" w:hAnsi="Calibri" w:eastAsia="" w:cs="Calibri" w:eastAsiaTheme="minorEastAsia"/>
          <w:color w:val="000000" w:themeColor="text1" w:themeTint="FF" w:themeShade="FF"/>
        </w:rPr>
        <w:t>professional pathway into the industry.</w:t>
      </w:r>
    </w:p>
    <w:p w:rsidRPr="00725DF6" w:rsidR="00725DF6" w:rsidP="4ACF73B5" w:rsidRDefault="00725DF6" w14:paraId="35E91DE1" w14:textId="2174710B">
      <w:pPr>
        <w:pStyle w:val="ListParagraph"/>
        <w:numPr>
          <w:ilvl w:val="0"/>
          <w:numId w:val="5"/>
        </w:numPr>
        <w:spacing w:after="36" w:line="260" w:lineRule="auto"/>
        <w:rPr>
          <w:rFonts w:eastAsia="Calibri"/>
          <w:color w:val="000000" w:themeColor="text1"/>
        </w:rPr>
      </w:pPr>
      <w:r w:rsidRPr="799A6EF3" w:rsidR="00725DF6">
        <w:rPr>
          <w:rFonts w:eastAsia="Calibri"/>
          <w:color w:val="000000" w:themeColor="text1" w:themeTint="FF" w:themeShade="FF"/>
        </w:rPr>
        <w:t>Learners have access to career and employment related displays in public areas within ATTFE, as well as access to resources and information through their tutor</w:t>
      </w:r>
      <w:r w:rsidRPr="799A6EF3" w:rsidR="4A05B9E7">
        <w:rPr>
          <w:rFonts w:eastAsia="Calibri"/>
          <w:color w:val="000000" w:themeColor="text1" w:themeTint="FF" w:themeShade="FF"/>
        </w:rPr>
        <w:t xml:space="preserve"> and Learner Newsletters</w:t>
      </w:r>
    </w:p>
    <w:p w:rsidRPr="00725DF6" w:rsidR="00725DF6" w:rsidP="00725DF6" w:rsidRDefault="00725DF6" w14:paraId="4B2C1974" w14:textId="1E6B8B48">
      <w:pPr>
        <w:pStyle w:val="ListParagraph"/>
        <w:numPr>
          <w:ilvl w:val="0"/>
          <w:numId w:val="5"/>
        </w:numPr>
        <w:spacing w:after="36" w:line="260" w:lineRule="auto"/>
        <w:rPr>
          <w:rFonts w:cstheme="minorHAnsi"/>
          <w:color w:val="000000" w:themeColor="text1"/>
        </w:rPr>
      </w:pPr>
      <w:r w:rsidRPr="5E74B02B" w:rsidR="00725DF6">
        <w:rPr>
          <w:rFonts w:eastAsia="Calibri" w:cs="Calibri" w:cstheme="minorAscii"/>
          <w:color w:val="000000" w:themeColor="text1" w:themeTint="FF" w:themeShade="FF"/>
        </w:rPr>
        <w:t>Additional career</w:t>
      </w:r>
      <w:r w:rsidRPr="5E74B02B" w:rsidR="00F62C7A">
        <w:rPr>
          <w:rFonts w:eastAsia="Calibri" w:cs="Calibri" w:cstheme="minorAscii"/>
          <w:color w:val="000000" w:themeColor="text1" w:themeTint="FF" w:themeShade="FF"/>
        </w:rPr>
        <w:t>-</w:t>
      </w:r>
      <w:r w:rsidRPr="5E74B02B" w:rsidR="00725DF6">
        <w:rPr>
          <w:rFonts w:eastAsia="Calibri" w:cs="Calibri" w:cstheme="minorAscii"/>
          <w:color w:val="000000" w:themeColor="text1" w:themeTint="FF" w:themeShade="FF"/>
        </w:rPr>
        <w:t>related learning and researc</w:t>
      </w:r>
      <w:r w:rsidRPr="5E74B02B" w:rsidR="00DE2FB2">
        <w:rPr>
          <w:rFonts w:eastAsia="Calibri" w:cs="Calibri" w:cstheme="minorAscii"/>
          <w:color w:val="000000" w:themeColor="text1" w:themeTint="FF" w:themeShade="FF"/>
        </w:rPr>
        <w:t xml:space="preserve">h </w:t>
      </w:r>
      <w:r w:rsidRPr="5E74B02B" w:rsidR="00725DF6">
        <w:rPr>
          <w:rFonts w:eastAsia="Calibri" w:cs="Calibri" w:cstheme="minorAscii"/>
          <w:color w:val="000000" w:themeColor="text1" w:themeTint="FF" w:themeShade="FF"/>
        </w:rPr>
        <w:t>material is available from the Careers Adviser.</w:t>
      </w:r>
    </w:p>
    <w:p w:rsidRPr="00725DF6" w:rsidR="00725DF6" w:rsidP="00725DF6" w:rsidRDefault="00725DF6" w14:paraId="75D95360" w14:textId="6D80C8B8">
      <w:pPr>
        <w:pStyle w:val="ListParagraph"/>
        <w:numPr>
          <w:ilvl w:val="0"/>
          <w:numId w:val="5"/>
        </w:numPr>
        <w:spacing w:after="36" w:line="260" w:lineRule="auto"/>
        <w:rPr>
          <w:rFonts w:eastAsiaTheme="minorEastAsia" w:cstheme="minorHAnsi"/>
          <w:color w:val="000000" w:themeColor="text1"/>
        </w:rPr>
      </w:pPr>
      <w:r w:rsidRPr="5E74B02B" w:rsidR="00725DF6">
        <w:rPr>
          <w:rFonts w:eastAsia="Calibri" w:cs="Calibri" w:cstheme="minorAscii"/>
          <w:color w:val="000000" w:themeColor="text1" w:themeTint="FF" w:themeShade="FF"/>
        </w:rPr>
        <w:t>An appropriately trained Careers Adviser support</w:t>
      </w:r>
      <w:r w:rsidRPr="5E74B02B" w:rsidR="00DE2FB2">
        <w:rPr>
          <w:rFonts w:eastAsia="Calibri" w:cs="Calibri" w:cstheme="minorAscii"/>
          <w:color w:val="000000" w:themeColor="text1" w:themeTint="FF" w:themeShade="FF"/>
        </w:rPr>
        <w:t>s</w:t>
      </w:r>
      <w:r w:rsidRPr="5E74B02B" w:rsidR="00725DF6">
        <w:rPr>
          <w:rFonts w:eastAsia="Calibri" w:cs="Calibri" w:cstheme="minorAscii"/>
          <w:color w:val="000000" w:themeColor="text1" w:themeTint="FF" w:themeShade="FF"/>
        </w:rPr>
        <w:t xml:space="preserve"> learners with a structured person</w:t>
      </w:r>
      <w:r w:rsidRPr="5E74B02B" w:rsidR="00DE2FB2">
        <w:rPr>
          <w:rFonts w:eastAsia="Calibri" w:cs="Calibri" w:cstheme="minorAscii"/>
          <w:color w:val="000000" w:themeColor="text1" w:themeTint="FF" w:themeShade="FF"/>
        </w:rPr>
        <w:t>al</w:t>
      </w:r>
      <w:r w:rsidRPr="5E74B02B" w:rsidR="00725DF6">
        <w:rPr>
          <w:rFonts w:eastAsia="Calibri" w:cs="Calibri" w:cstheme="minorAscii"/>
          <w:color w:val="000000" w:themeColor="text1" w:themeTint="FF" w:themeShade="FF"/>
        </w:rPr>
        <w:t xml:space="preserve"> guidance meeting.  These can be accessed independently or through a tutor/colleague referral</w:t>
      </w:r>
      <w:r w:rsidRPr="5E74B02B" w:rsidR="00DE2FB2">
        <w:rPr>
          <w:rFonts w:eastAsia="Calibri" w:cs="Calibri" w:cstheme="minorAscii"/>
          <w:color w:val="000000" w:themeColor="text1" w:themeTint="FF" w:themeShade="FF"/>
        </w:rPr>
        <w:t>.</w:t>
      </w:r>
    </w:p>
    <w:p w:rsidRPr="00725DF6" w:rsidR="00725DF6" w:rsidP="538E96C7" w:rsidRDefault="00725DF6" w14:paraId="2D607AB8" w14:textId="59DD413D">
      <w:pPr>
        <w:pStyle w:val="ListParagraph"/>
        <w:numPr>
          <w:ilvl w:val="0"/>
          <w:numId w:val="5"/>
        </w:numPr>
        <w:spacing w:after="36" w:line="260" w:lineRule="auto"/>
        <w:rPr>
          <w:rFonts w:eastAsia="" w:cs="Calibri" w:eastAsiaTheme="minorEastAsia" w:cstheme="minorAscii"/>
          <w:color w:val="000000" w:themeColor="text1"/>
        </w:rPr>
      </w:pPr>
      <w:r w:rsidRPr="5E74B02B" w:rsidR="00725DF6">
        <w:rPr>
          <w:rFonts w:eastAsia="Calibri" w:cs="Calibri" w:cstheme="minorAscii"/>
          <w:color w:val="000000" w:themeColor="text1" w:themeTint="FF" w:themeShade="FF"/>
        </w:rPr>
        <w:t xml:space="preserve">The Careers </w:t>
      </w:r>
      <w:r w:rsidRPr="5E74B02B" w:rsidR="00725DF6">
        <w:rPr>
          <w:rFonts w:eastAsia="Calibri" w:cs="Calibri" w:cstheme="minorAscii"/>
          <w:color w:val="000000" w:themeColor="text1" w:themeTint="FF" w:themeShade="FF"/>
        </w:rPr>
        <w:t xml:space="preserve">Plan </w:t>
      </w:r>
      <w:r w:rsidRPr="5E74B02B" w:rsidR="00725DF6">
        <w:rPr>
          <w:rFonts w:eastAsia="Calibri" w:cs="Calibri" w:cstheme="minorAscii"/>
          <w:color w:val="000000" w:themeColor="text1" w:themeTint="FF" w:themeShade="FF"/>
        </w:rPr>
        <w:t>details</w:t>
      </w:r>
      <w:r w:rsidRPr="5E74B02B" w:rsidR="00725DF6">
        <w:rPr>
          <w:rFonts w:eastAsia="Calibri" w:cs="Calibri" w:cstheme="minorAscii"/>
          <w:color w:val="000000" w:themeColor="text1" w:themeTint="FF" w:themeShade="FF"/>
        </w:rPr>
        <w:t xml:space="preserve"> the activities that will take place throughout the academic year. This document provides an outline overview of the </w:t>
      </w:r>
      <w:r w:rsidRPr="5E74B02B" w:rsidR="00DE2FB2">
        <w:rPr>
          <w:rFonts w:eastAsia="Calibri" w:cs="Calibri" w:cstheme="minorAscii"/>
          <w:color w:val="000000" w:themeColor="text1" w:themeTint="FF" w:themeShade="FF"/>
        </w:rPr>
        <w:t xml:space="preserve">scheduled </w:t>
      </w:r>
      <w:r w:rsidRPr="5E74B02B" w:rsidR="00725DF6">
        <w:rPr>
          <w:rFonts w:eastAsia="Calibri" w:cs="Calibri" w:cstheme="minorAscii"/>
          <w:color w:val="000000" w:themeColor="text1" w:themeTint="FF" w:themeShade="FF"/>
        </w:rPr>
        <w:t>core activities</w:t>
      </w:r>
      <w:r w:rsidRPr="5E74B02B" w:rsidR="00DE2FB2">
        <w:rPr>
          <w:rFonts w:eastAsia="Calibri" w:cs="Calibri" w:cstheme="minorAscii"/>
          <w:color w:val="000000" w:themeColor="text1" w:themeTint="FF" w:themeShade="FF"/>
        </w:rPr>
        <w:t>.</w:t>
      </w:r>
      <w:r w:rsidRPr="5E74B02B" w:rsidR="00725DF6">
        <w:rPr>
          <w:rFonts w:eastAsia="Calibri" w:cs="Calibri" w:cstheme="minorAscii"/>
          <w:color w:val="000000" w:themeColor="text1" w:themeTint="FF" w:themeShade="FF"/>
        </w:rPr>
        <w:t xml:space="preserve"> </w:t>
      </w:r>
    </w:p>
    <w:p w:rsidRPr="00725DF6" w:rsidR="00725DF6" w:rsidP="00725DF6" w:rsidRDefault="00725DF6" w14:paraId="6950AD99" w14:textId="3D681FA3">
      <w:pPr>
        <w:pStyle w:val="ListParagraph"/>
        <w:numPr>
          <w:ilvl w:val="0"/>
          <w:numId w:val="5"/>
        </w:numPr>
        <w:spacing w:after="36" w:line="260" w:lineRule="auto"/>
        <w:rPr>
          <w:rFonts w:eastAsiaTheme="minorEastAsia" w:cstheme="minorHAnsi"/>
          <w:color w:val="000000" w:themeColor="text1"/>
        </w:rPr>
      </w:pPr>
      <w:r w:rsidRPr="4ACF73B5" w:rsidR="00725DF6">
        <w:rPr>
          <w:rFonts w:eastAsia="Calibri" w:cs="Calibri" w:cstheme="minorAscii"/>
          <w:color w:val="000000" w:themeColor="text1"/>
        </w:rPr>
        <w:t xml:space="preserve">Additional activities </w:t>
      </w:r>
      <w:r w:rsidRPr="4ACF73B5" w:rsidR="00DE2FB2">
        <w:rPr>
          <w:rFonts w:eastAsia="Calibri" w:cs="Calibri" w:cstheme="minorAscii"/>
          <w:color w:val="000000" w:themeColor="text1"/>
        </w:rPr>
        <w:t>are</w:t>
      </w:r>
      <w:r w:rsidRPr="4ACF73B5" w:rsidR="00725DF6">
        <w:rPr>
          <w:rFonts w:eastAsia="Calibri" w:cs="Calibri" w:cstheme="minorAscii"/>
          <w:color w:val="000000" w:themeColor="text1"/>
        </w:rPr>
        <w:t xml:space="preserve"> made available to learners throughout the year, especially for the 16-19 cohort.</w:t>
      </w:r>
      <w:r w:rsidRPr="4ACF73B5" w:rsidR="00275478">
        <w:rPr>
          <w:rFonts w:eastAsia="Calibri" w:cs="Calibri" w:cstheme="minorAscii"/>
          <w:color w:val="000000" w:themeColor="text1"/>
        </w:rPr>
        <w:t xml:space="preserve"> </w:t>
      </w:r>
      <w:r w:rsidR="00275478">
        <w:rPr>
          <w:rFonts w:ascii="Calibri" w:hAnsi="Calibri" w:cs="Calibri"/>
          <w:color w:val="000000"/>
          <w:shd w:val="clear" w:color="auto" w:fill="FFFFFF"/>
        </w:rPr>
        <w:t>This includes Work Experience for all 16-19-year-old learners.</w:t>
      </w:r>
    </w:p>
    <w:p w:rsidRPr="00725DF6" w:rsidR="00725DF6" w:rsidP="00725DF6" w:rsidRDefault="00725DF6" w14:paraId="5720AEBB" w14:textId="77777777">
      <w:pPr>
        <w:spacing w:after="36" w:line="260" w:lineRule="auto"/>
        <w:ind w:left="90" w:firstLine="260"/>
        <w:rPr>
          <w:rFonts w:eastAsia="Calibri" w:cstheme="minorHAnsi"/>
          <w:color w:val="000000" w:themeColor="text1"/>
        </w:rPr>
      </w:pPr>
    </w:p>
    <w:p w:rsidR="1AF26830" w:rsidP="1AF26830" w:rsidRDefault="1AF26830" w14:paraId="214B25F3" w14:textId="772555FE">
      <w:pPr>
        <w:spacing w:after="36" w:line="260" w:lineRule="auto"/>
        <w:ind w:left="720" w:hanging="370"/>
        <w:rPr>
          <w:rFonts w:eastAsia="Calibri" w:cs="Calibri" w:cstheme="minorAscii"/>
          <w:color w:val="000000" w:themeColor="text1" w:themeTint="FF" w:themeShade="FF"/>
          <w:u w:val="single"/>
        </w:rPr>
      </w:pPr>
    </w:p>
    <w:p w:rsidR="1AF26830" w:rsidP="1AF26830" w:rsidRDefault="1AF26830" w14:paraId="4DB54E98" w14:textId="5110CD27">
      <w:pPr>
        <w:spacing w:after="36" w:line="260" w:lineRule="auto"/>
        <w:ind w:left="720" w:hanging="370"/>
        <w:rPr>
          <w:rFonts w:eastAsia="Calibri" w:cs="Calibri" w:cstheme="minorAscii"/>
          <w:color w:val="000000" w:themeColor="text1" w:themeTint="FF" w:themeShade="FF"/>
          <w:u w:val="single"/>
        </w:rPr>
      </w:pPr>
    </w:p>
    <w:p w:rsidRPr="00725DF6" w:rsidR="00725DF6" w:rsidP="00725DF6" w:rsidRDefault="00DE2FB2" w14:paraId="1BDC2835" w14:textId="0FC754E3">
      <w:pPr>
        <w:spacing w:after="36" w:line="260" w:lineRule="auto"/>
        <w:ind w:left="720" w:hanging="370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  <w:u w:val="single"/>
        </w:rPr>
        <w:t>CEIAG</w:t>
      </w:r>
      <w:r w:rsidRPr="00725DF6" w:rsidR="00725DF6">
        <w:rPr>
          <w:rFonts w:eastAsia="Calibri" w:cstheme="minorHAnsi"/>
          <w:color w:val="000000" w:themeColor="text1"/>
          <w:u w:val="single"/>
        </w:rPr>
        <w:t xml:space="preserve"> for 16-19 learners</w:t>
      </w:r>
    </w:p>
    <w:p w:rsidRPr="00725DF6" w:rsidR="00725DF6" w:rsidP="1AF26830" w:rsidRDefault="00725DF6" w14:paraId="67FF3EC9" w14:textId="32A66B7D">
      <w:pPr>
        <w:pStyle w:val="ListParagraph"/>
        <w:numPr>
          <w:ilvl w:val="0"/>
          <w:numId w:val="4"/>
        </w:numPr>
        <w:spacing w:after="36" w:line="260" w:lineRule="auto"/>
        <w:rPr>
          <w:rFonts w:eastAsia="" w:cs="Calibri" w:eastAsiaTheme="minorEastAsia" w:cstheme="minorAscii"/>
          <w:color w:val="000000" w:themeColor="text1"/>
        </w:rPr>
      </w:pPr>
      <w:r w:rsidRPr="799A6EF3" w:rsidR="00725DF6">
        <w:rPr>
          <w:rFonts w:eastAsia="Calibri" w:cs="Calibri" w:cstheme="minorAscii"/>
          <w:color w:val="000000" w:themeColor="text1" w:themeTint="FF" w:themeShade="FF"/>
        </w:rPr>
        <w:t xml:space="preserve">All 16-19 </w:t>
      </w:r>
      <w:r w:rsidRPr="799A6EF3" w:rsidR="00DE2FB2">
        <w:rPr>
          <w:rFonts w:eastAsia="Calibri" w:cs="Calibri" w:cstheme="minorAscii"/>
          <w:color w:val="000000" w:themeColor="text1" w:themeTint="FF" w:themeShade="FF"/>
        </w:rPr>
        <w:t>l</w:t>
      </w:r>
      <w:r w:rsidRPr="799A6EF3" w:rsidR="00725DF6">
        <w:rPr>
          <w:rFonts w:eastAsia="Calibri" w:cs="Calibri" w:cstheme="minorAscii"/>
          <w:color w:val="000000" w:themeColor="text1" w:themeTint="FF" w:themeShade="FF"/>
        </w:rPr>
        <w:t xml:space="preserve">earners receive a </w:t>
      </w:r>
      <w:r w:rsidRPr="799A6EF3" w:rsidR="67C5B421">
        <w:rPr>
          <w:rFonts w:eastAsia="Calibri" w:cs="Calibri" w:cstheme="minorAscii"/>
          <w:color w:val="000000" w:themeColor="text1" w:themeTint="FF" w:themeShade="FF"/>
        </w:rPr>
        <w:t xml:space="preserve">Personal </w:t>
      </w:r>
      <w:r w:rsidRPr="799A6EF3" w:rsidR="00725DF6">
        <w:rPr>
          <w:rFonts w:eastAsia="Calibri" w:cs="Calibri" w:cstheme="minorAscii"/>
          <w:color w:val="000000" w:themeColor="text1" w:themeTint="FF" w:themeShade="FF"/>
        </w:rPr>
        <w:t>Development Passport</w:t>
      </w:r>
      <w:r w:rsidRPr="799A6EF3" w:rsidR="00725DF6">
        <w:rPr>
          <w:rFonts w:eastAsia="Calibri" w:cs="Calibri" w:cstheme="minorAscii"/>
          <w:color w:val="000000" w:themeColor="text1" w:themeTint="FF" w:themeShade="FF"/>
        </w:rPr>
        <w:t xml:space="preserve"> where they log and record activities that support them in their transition into the world of work or further study.</w:t>
      </w:r>
    </w:p>
    <w:p w:rsidRPr="00725DF6" w:rsidR="00725DF6" w:rsidP="00725DF6" w:rsidRDefault="00725DF6" w14:paraId="46189470" w14:textId="76DF8F88">
      <w:pPr>
        <w:pStyle w:val="ListParagraph"/>
        <w:numPr>
          <w:ilvl w:val="0"/>
          <w:numId w:val="4"/>
        </w:numPr>
        <w:spacing w:after="36" w:line="260" w:lineRule="auto"/>
        <w:rPr>
          <w:rFonts w:cstheme="minorHAnsi"/>
          <w:color w:val="000000" w:themeColor="text1"/>
        </w:rPr>
      </w:pPr>
      <w:r w:rsidRPr="00725DF6">
        <w:rPr>
          <w:rFonts w:eastAsia="Calibri" w:cstheme="minorHAnsi"/>
          <w:color w:val="000000" w:themeColor="text1"/>
        </w:rPr>
        <w:t xml:space="preserve">16-19 </w:t>
      </w:r>
      <w:r w:rsidR="00DE2FB2">
        <w:rPr>
          <w:rFonts w:eastAsia="Calibri" w:cstheme="minorHAnsi"/>
          <w:color w:val="000000" w:themeColor="text1"/>
        </w:rPr>
        <w:t>l</w:t>
      </w:r>
      <w:r w:rsidRPr="00725DF6">
        <w:rPr>
          <w:rFonts w:eastAsia="Calibri" w:cstheme="minorHAnsi"/>
          <w:color w:val="000000" w:themeColor="text1"/>
        </w:rPr>
        <w:t xml:space="preserve">earners engage with and learn from a variety of employers, employees, and education providers. There </w:t>
      </w:r>
      <w:r w:rsidR="00DE2FB2">
        <w:rPr>
          <w:rFonts w:eastAsia="Calibri" w:cstheme="minorHAnsi"/>
          <w:color w:val="000000" w:themeColor="text1"/>
        </w:rPr>
        <w:t>are</w:t>
      </w:r>
      <w:r w:rsidRPr="00725DF6">
        <w:rPr>
          <w:rFonts w:eastAsia="Calibri" w:cstheme="minorHAnsi"/>
          <w:color w:val="000000" w:themeColor="text1"/>
        </w:rPr>
        <w:t xml:space="preserve"> opportunities for learners to engage in workplace encounters, through a range of progressive learning activities and visits.</w:t>
      </w:r>
    </w:p>
    <w:p w:rsidRPr="00725DF6" w:rsidR="00725DF6" w:rsidP="00725DF6" w:rsidRDefault="00725DF6" w14:paraId="38036A59" w14:textId="77777777">
      <w:pPr>
        <w:pStyle w:val="ListParagraph"/>
        <w:numPr>
          <w:ilvl w:val="0"/>
          <w:numId w:val="4"/>
        </w:numPr>
        <w:spacing w:after="36" w:line="260" w:lineRule="auto"/>
        <w:rPr>
          <w:rFonts w:eastAsiaTheme="minorEastAsia" w:cstheme="minorHAnsi"/>
          <w:color w:val="000000" w:themeColor="text1"/>
        </w:rPr>
      </w:pPr>
      <w:r w:rsidRPr="00725DF6">
        <w:rPr>
          <w:rFonts w:eastAsia="Calibri" w:cstheme="minorHAnsi"/>
          <w:color w:val="000000" w:themeColor="text1"/>
        </w:rPr>
        <w:t>Learning is linked to employability skills and career pathways.</w:t>
      </w:r>
    </w:p>
    <w:p w:rsidRPr="00725DF6" w:rsidR="00725DF6" w:rsidP="00725DF6" w:rsidRDefault="00725DF6" w14:paraId="7613B41E" w14:textId="799252A8">
      <w:pPr>
        <w:pStyle w:val="ListParagraph"/>
        <w:numPr>
          <w:ilvl w:val="0"/>
          <w:numId w:val="4"/>
        </w:numPr>
        <w:spacing w:after="36" w:line="260" w:lineRule="auto"/>
        <w:rPr>
          <w:rFonts w:eastAsiaTheme="minorEastAsia" w:cstheme="minorHAnsi"/>
          <w:color w:val="000000" w:themeColor="text1"/>
        </w:rPr>
      </w:pPr>
      <w:r w:rsidRPr="00725DF6">
        <w:rPr>
          <w:rFonts w:eastAsia="Calibri" w:cstheme="minorHAnsi"/>
          <w:color w:val="000000" w:themeColor="text1"/>
        </w:rPr>
        <w:t xml:space="preserve">All documents are available to colleagues via </w:t>
      </w:r>
      <w:r w:rsidRPr="00725DF6" w:rsidR="005379A9">
        <w:rPr>
          <w:rFonts w:eastAsia="Calibri" w:cstheme="minorHAnsi"/>
          <w:color w:val="000000" w:themeColor="text1"/>
        </w:rPr>
        <w:t>SharePoint</w:t>
      </w:r>
      <w:r w:rsidRPr="00725DF6">
        <w:rPr>
          <w:rFonts w:eastAsia="Calibri" w:cstheme="minorHAnsi"/>
          <w:color w:val="000000" w:themeColor="text1"/>
        </w:rPr>
        <w:t xml:space="preserve"> in the CEIAG folder and in the learner’s Personal Development Passport.</w:t>
      </w:r>
    </w:p>
    <w:p w:rsidRPr="00240AE9" w:rsidR="00725DF6" w:rsidP="00725DF6" w:rsidRDefault="00725DF6" w14:paraId="6CF1D04B" w14:textId="5AB7CACF">
      <w:pPr>
        <w:pStyle w:val="ListParagraph"/>
        <w:numPr>
          <w:ilvl w:val="0"/>
          <w:numId w:val="4"/>
        </w:numPr>
        <w:spacing w:after="36" w:line="260" w:lineRule="auto"/>
        <w:rPr>
          <w:rFonts w:eastAsiaTheme="minorEastAsia" w:cstheme="minorHAnsi"/>
          <w:color w:val="000000" w:themeColor="text1"/>
        </w:rPr>
      </w:pPr>
      <w:r w:rsidRPr="00725DF6">
        <w:rPr>
          <w:rFonts w:eastAsia="Calibri" w:cstheme="minorHAnsi"/>
          <w:color w:val="000000" w:themeColor="text1"/>
        </w:rPr>
        <w:t>The Careers Team supports colleagues and learners with their career choices and the interpretation of the CDI Framework</w:t>
      </w:r>
      <w:r>
        <w:rPr>
          <w:rFonts w:eastAsia="Calibri" w:cstheme="minorHAnsi"/>
          <w:color w:val="000000" w:themeColor="text1"/>
        </w:rPr>
        <w:t>.</w:t>
      </w:r>
    </w:p>
    <w:p w:rsidRPr="00725DF6" w:rsidR="00240AE9" w:rsidP="2BBF1EEC" w:rsidRDefault="00240AE9" w14:paraId="23818E22" w14:textId="5821C99E">
      <w:pPr>
        <w:pStyle w:val="ListParagraph"/>
        <w:numPr>
          <w:ilvl w:val="0"/>
          <w:numId w:val="4"/>
        </w:numPr>
        <w:spacing w:after="36" w:line="260" w:lineRule="auto"/>
        <w:rPr>
          <w:rFonts w:eastAsia="" w:cs="Calibri" w:eastAsiaTheme="minorEastAsia" w:cstheme="minorAscii"/>
          <w:color w:val="000000" w:themeColor="text1" w:themeTint="FF" w:themeShade="FF"/>
        </w:rPr>
      </w:pPr>
      <w:r w:rsidRPr="1AF26830" w:rsidR="709A272B">
        <w:rPr>
          <w:rFonts w:eastAsia="Calibri" w:cs="Calibri" w:cstheme="minorAscii"/>
          <w:color w:val="auto"/>
        </w:rPr>
        <w:t xml:space="preserve">A </w:t>
      </w:r>
      <w:r w:rsidRPr="1AF26830" w:rsidR="1EC2B004">
        <w:rPr>
          <w:rFonts w:eastAsia="Calibri" w:cs="Calibri" w:cstheme="minorAscii"/>
          <w:color w:val="auto"/>
        </w:rPr>
        <w:t xml:space="preserve">recognised </w:t>
      </w:r>
      <w:r w:rsidRPr="1AF26830" w:rsidR="709A272B">
        <w:rPr>
          <w:rFonts w:eastAsia="Calibri" w:cs="Calibri" w:cstheme="minorAscii"/>
          <w:color w:val="auto"/>
        </w:rPr>
        <w:t>car</w:t>
      </w:r>
      <w:r w:rsidRPr="1AF26830" w:rsidR="2A5A8755">
        <w:rPr>
          <w:rFonts w:eastAsia="Calibri" w:cs="Calibri" w:cstheme="minorAscii"/>
          <w:color w:val="auto"/>
        </w:rPr>
        <w:t>e</w:t>
      </w:r>
      <w:r w:rsidRPr="1AF26830" w:rsidR="709A272B">
        <w:rPr>
          <w:rFonts w:eastAsia="Calibri" w:cs="Calibri" w:cstheme="minorAscii"/>
          <w:color w:val="auto"/>
        </w:rPr>
        <w:t>ers</w:t>
      </w:r>
      <w:r w:rsidRPr="1AF26830" w:rsidR="709A272B">
        <w:rPr>
          <w:rFonts w:eastAsia="Calibri" w:cs="Calibri" w:cstheme="minorAscii"/>
          <w:color w:val="auto"/>
        </w:rPr>
        <w:t xml:space="preserve"> p</w:t>
      </w:r>
      <w:r w:rsidRPr="1AF26830" w:rsidR="00240AE9">
        <w:rPr>
          <w:rFonts w:eastAsia="Calibri" w:cs="Calibri" w:cstheme="minorAscii"/>
          <w:color w:val="auto"/>
        </w:rPr>
        <w:t xml:space="preserve">latform </w:t>
      </w:r>
      <w:r w:rsidRPr="1AF26830" w:rsidR="7ED024D6">
        <w:rPr>
          <w:rFonts w:eastAsia="Calibri" w:cs="Calibri" w:cstheme="minorAscii"/>
          <w:color w:val="auto"/>
        </w:rPr>
        <w:t xml:space="preserve">is </w:t>
      </w:r>
      <w:r w:rsidRPr="1AF26830" w:rsidR="00240AE9">
        <w:rPr>
          <w:rFonts w:eastAsia="Calibri" w:cs="Calibri" w:cstheme="minorAscii"/>
          <w:color w:val="auto"/>
        </w:rPr>
        <w:t xml:space="preserve">available to </w:t>
      </w:r>
      <w:r w:rsidRPr="1AF26830" w:rsidR="00240AE9">
        <w:rPr>
          <w:rFonts w:eastAsia="Calibri" w:cs="Calibri" w:cstheme="minorAscii"/>
          <w:color w:val="auto"/>
        </w:rPr>
        <w:t>Lea</w:t>
      </w:r>
      <w:r w:rsidRPr="1AF26830" w:rsidR="00240AE9">
        <w:rPr>
          <w:rFonts w:eastAsia="Calibri" w:cs="Calibri" w:cstheme="minorAscii"/>
          <w:color w:val="auto"/>
        </w:rPr>
        <w:t>rners</w:t>
      </w:r>
      <w:r w:rsidRPr="1AF26830" w:rsidR="5D27DA07">
        <w:rPr>
          <w:rFonts w:eastAsia="Calibri" w:cs="Calibri" w:cstheme="minorAscii"/>
          <w:color w:val="auto"/>
        </w:rPr>
        <w:t xml:space="preserve"> to build knowledge of their local area, themselves and the skills </w:t>
      </w:r>
      <w:r w:rsidRPr="1AF26830" w:rsidR="5D27DA07">
        <w:rPr>
          <w:rFonts w:eastAsia="Calibri" w:cs="Calibri" w:cstheme="minorAscii"/>
          <w:color w:val="auto"/>
        </w:rPr>
        <w:t>required</w:t>
      </w:r>
      <w:r w:rsidRPr="1AF26830" w:rsidR="5D27DA07">
        <w:rPr>
          <w:rFonts w:eastAsia="Calibri" w:cs="Calibri" w:cstheme="minorAscii"/>
          <w:color w:val="auto"/>
        </w:rPr>
        <w:t xml:space="preserve"> for the </w:t>
      </w:r>
      <w:r w:rsidRPr="1AF26830" w:rsidR="5D27DA07">
        <w:rPr>
          <w:rFonts w:eastAsia="Calibri" w:cs="Calibri" w:cstheme="minorAscii"/>
          <w:color w:val="auto"/>
        </w:rPr>
        <w:t>workplace</w:t>
      </w:r>
      <w:r w:rsidRPr="1AF26830" w:rsidR="5D27DA07">
        <w:rPr>
          <w:rFonts w:eastAsia="Calibri" w:cs="Calibri" w:cstheme="minorAscii"/>
          <w:color w:val="auto"/>
        </w:rPr>
        <w:t xml:space="preserve"> and their progression.</w:t>
      </w:r>
    </w:p>
    <w:p w:rsidRPr="00725DF6" w:rsidR="00725DF6" w:rsidP="1AF26830" w:rsidRDefault="00725DF6" w14:paraId="57EC5139" w14:textId="7BC05F86">
      <w:pPr>
        <w:pStyle w:val="ListParagraph"/>
        <w:numPr>
          <w:ilvl w:val="0"/>
          <w:numId w:val="4"/>
        </w:numPr>
        <w:spacing w:after="36" w:line="260" w:lineRule="auto"/>
        <w:rPr>
          <w:rFonts w:eastAsia="" w:cs="Calibri" w:eastAsiaTheme="minorEastAsia" w:cstheme="minorAscii"/>
          <w:color w:val="000000" w:themeColor="text1" w:themeTint="FF" w:themeShade="FF"/>
        </w:rPr>
      </w:pPr>
      <w:r w:rsidRPr="1AF26830" w:rsidR="55EA2314">
        <w:rPr>
          <w:rFonts w:eastAsia="" w:cs="Calibri" w:eastAsiaTheme="minorEastAsia" w:cstheme="minorAscii"/>
          <w:color w:val="auto"/>
        </w:rPr>
        <w:t xml:space="preserve">Learners are empowered to reflect on their </w:t>
      </w:r>
      <w:r w:rsidRPr="1AF26830" w:rsidR="55EA2314">
        <w:rPr>
          <w:rFonts w:eastAsia="" w:cs="Calibri" w:eastAsiaTheme="minorEastAsia" w:cstheme="minorAscii"/>
          <w:color w:val="auto"/>
        </w:rPr>
        <w:t xml:space="preserve">1 to 1 careers meeting and give feedback to the </w:t>
      </w:r>
      <w:r w:rsidRPr="1AF26830" w:rsidR="566E5536">
        <w:rPr>
          <w:rFonts w:eastAsia="" w:cs="Calibri" w:eastAsiaTheme="minorEastAsia" w:cstheme="minorAscii"/>
          <w:color w:val="auto"/>
        </w:rPr>
        <w:t>Ca</w:t>
      </w:r>
      <w:r w:rsidRPr="1AF26830" w:rsidR="55EA2314">
        <w:rPr>
          <w:rFonts w:eastAsia="" w:cs="Calibri" w:eastAsiaTheme="minorEastAsia" w:cstheme="minorAscii"/>
          <w:color w:val="auto"/>
        </w:rPr>
        <w:t>r</w:t>
      </w:r>
      <w:r w:rsidRPr="1AF26830" w:rsidR="566E5536">
        <w:rPr>
          <w:rFonts w:eastAsia="" w:cs="Calibri" w:eastAsiaTheme="minorEastAsia" w:cstheme="minorAscii"/>
          <w:color w:val="auto"/>
        </w:rPr>
        <w:t xml:space="preserve">eers </w:t>
      </w:r>
      <w:r w:rsidRPr="1AF26830" w:rsidR="673F6258">
        <w:rPr>
          <w:rFonts w:eastAsia="" w:cs="Calibri" w:eastAsiaTheme="minorEastAsia" w:cstheme="minorAscii"/>
          <w:color w:val="auto"/>
        </w:rPr>
        <w:t>A</w:t>
      </w:r>
      <w:r w:rsidRPr="1AF26830" w:rsidR="566E5536">
        <w:rPr>
          <w:rFonts w:eastAsia="" w:cs="Calibri" w:eastAsiaTheme="minorEastAsia" w:cstheme="minorAscii"/>
          <w:color w:val="auto"/>
        </w:rPr>
        <w:t>dviser</w:t>
      </w:r>
      <w:r w:rsidRPr="1AF26830" w:rsidR="11541BFB">
        <w:rPr>
          <w:rFonts w:eastAsia="" w:cs="Calibri" w:eastAsiaTheme="minorEastAsia" w:cstheme="minorAscii"/>
          <w:color w:val="auto"/>
        </w:rPr>
        <w:t xml:space="preserve">  </w:t>
      </w:r>
    </w:p>
    <w:p w:rsidRPr="00725DF6" w:rsidR="00725DF6" w:rsidP="00725DF6" w:rsidRDefault="00725DF6" w14:paraId="13D0AE95" w14:textId="7D815272">
      <w:pPr>
        <w:spacing w:after="36" w:line="260" w:lineRule="auto"/>
        <w:rPr>
          <w:rFonts w:eastAsiaTheme="minorEastAsia" w:cstheme="minorHAnsi"/>
          <w:b/>
          <w:color w:val="000000" w:themeColor="text1"/>
        </w:rPr>
      </w:pPr>
      <w:r w:rsidRPr="00725DF6">
        <w:rPr>
          <w:rFonts w:eastAsiaTheme="minorEastAsia" w:cstheme="minorHAnsi"/>
          <w:b/>
          <w:color w:val="000000" w:themeColor="text1"/>
        </w:rPr>
        <w:lastRenderedPageBreak/>
        <w:t>Impact:</w:t>
      </w:r>
    </w:p>
    <w:p w:rsidRPr="00725DF6" w:rsidR="00725DF6" w:rsidP="5E74B02B" w:rsidRDefault="00725DF6" w14:paraId="47C63BCE" w14:textId="30188569">
      <w:pPr>
        <w:pStyle w:val="ListParagraph"/>
        <w:numPr>
          <w:ilvl w:val="0"/>
          <w:numId w:val="7"/>
        </w:numPr>
        <w:spacing w:after="36" w:line="260" w:lineRule="auto"/>
        <w:rPr>
          <w:rFonts w:eastAsia="" w:cs="Calibri" w:eastAsiaTheme="minorEastAsia" w:cstheme="minorAscii"/>
          <w:color w:val="000000" w:themeColor="text1"/>
        </w:rPr>
      </w:pPr>
      <w:r w:rsidRPr="5E74B02B" w:rsidR="4F02B798">
        <w:rPr>
          <w:rFonts w:eastAsia="" w:cs="Calibri" w:eastAsiaTheme="minorEastAsia" w:cstheme="minorAscii"/>
          <w:color w:val="000000" w:themeColor="text1" w:themeTint="FF" w:themeShade="FF"/>
        </w:rPr>
        <w:t>L</w:t>
      </w:r>
      <w:r w:rsidRPr="5E74B02B" w:rsidR="00725DF6">
        <w:rPr>
          <w:rFonts w:eastAsia="" w:cs="Calibri" w:eastAsiaTheme="minorEastAsia" w:cstheme="minorAscii"/>
          <w:color w:val="000000" w:themeColor="text1" w:themeTint="FF" w:themeShade="FF"/>
        </w:rPr>
        <w:t>earners have a positive CEIAG experience whilst at ATTFE.</w:t>
      </w:r>
    </w:p>
    <w:p w:rsidRPr="00725DF6" w:rsidR="00725DF6" w:rsidP="00725DF6" w:rsidRDefault="00725DF6" w14:paraId="1AF13816" w14:textId="77777777">
      <w:pPr>
        <w:pStyle w:val="ListParagraph"/>
        <w:numPr>
          <w:ilvl w:val="0"/>
          <w:numId w:val="7"/>
        </w:numPr>
        <w:spacing w:after="36" w:line="260" w:lineRule="auto"/>
        <w:rPr>
          <w:rFonts w:eastAsiaTheme="minorEastAsia" w:cstheme="minorHAnsi"/>
          <w:color w:val="000000" w:themeColor="text1"/>
        </w:rPr>
      </w:pPr>
      <w:r w:rsidRPr="00725DF6">
        <w:rPr>
          <w:rFonts w:eastAsiaTheme="minorEastAsia" w:cstheme="minorHAnsi"/>
          <w:color w:val="000000" w:themeColor="text1"/>
        </w:rPr>
        <w:t>Good retention rates.</w:t>
      </w:r>
    </w:p>
    <w:p w:rsidRPr="00725DF6" w:rsidR="00725DF6" w:rsidP="538E96C7" w:rsidRDefault="00725DF6" w14:paraId="33016D33" w14:textId="4A4E5B66">
      <w:pPr>
        <w:pStyle w:val="NormalWeb"/>
        <w:numPr>
          <w:ilvl w:val="0"/>
          <w:numId w:val="7"/>
        </w:numPr>
        <w:rPr>
          <w:rFonts w:ascii="Calibri" w:hAnsi="Calibri" w:cs="Calibri" w:asciiTheme="minorAscii" w:hAnsiTheme="minorAscii" w:cstheme="minorAscii"/>
          <w:color w:val="000000"/>
          <w:sz w:val="22"/>
          <w:szCs w:val="22"/>
        </w:rPr>
      </w:pPr>
      <w:r w:rsidRPr="538E96C7" w:rsidR="00725DF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Learners become more aware of the choices available to </w:t>
      </w:r>
      <w:r w:rsidRPr="538E96C7" w:rsidR="00725DF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them and</w:t>
      </w:r>
      <w:r w:rsidRPr="538E96C7" w:rsidR="00725DF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are prepared for the working environment and/or further study.</w:t>
      </w:r>
    </w:p>
    <w:p w:rsidRPr="00725DF6" w:rsidR="00725DF6" w:rsidP="00725DF6" w:rsidRDefault="00725DF6" w14:paraId="58C702C3" w14:textId="1BCF9F53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25DF6">
        <w:rPr>
          <w:rFonts w:asciiTheme="minorHAnsi" w:hAnsiTheme="minorHAnsi" w:cstheme="minorHAnsi"/>
          <w:color w:val="000000"/>
          <w:sz w:val="22"/>
          <w:szCs w:val="22"/>
        </w:rPr>
        <w:t xml:space="preserve">Careers learning will </w:t>
      </w:r>
      <w:r w:rsidR="00DE2FB2">
        <w:rPr>
          <w:rFonts w:asciiTheme="minorHAnsi" w:hAnsiTheme="minorHAnsi" w:cstheme="minorHAnsi"/>
          <w:color w:val="000000"/>
          <w:sz w:val="22"/>
          <w:szCs w:val="22"/>
        </w:rPr>
        <w:t>be</w:t>
      </w:r>
      <w:r w:rsidRPr="00725DF6">
        <w:rPr>
          <w:rFonts w:asciiTheme="minorHAnsi" w:hAnsiTheme="minorHAnsi" w:cstheme="minorHAnsi"/>
          <w:color w:val="000000"/>
          <w:sz w:val="22"/>
          <w:szCs w:val="22"/>
        </w:rPr>
        <w:t xml:space="preserve"> embedded within the curriculum</w:t>
      </w:r>
      <w:r w:rsidR="00DE2FB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Pr="00725DF6" w:rsidR="00725DF6" w:rsidP="00725DF6" w:rsidRDefault="00725DF6" w14:paraId="65C1C662" w14:textId="22DD52ED">
      <w:pPr>
        <w:pStyle w:val="ListParagraph"/>
        <w:numPr>
          <w:ilvl w:val="0"/>
          <w:numId w:val="7"/>
        </w:numPr>
        <w:spacing w:after="36" w:line="260" w:lineRule="auto"/>
        <w:rPr>
          <w:rFonts w:eastAsiaTheme="minorEastAsia" w:cstheme="minorHAnsi"/>
          <w:color w:val="000000" w:themeColor="text1"/>
        </w:rPr>
      </w:pPr>
      <w:r w:rsidRPr="00725DF6">
        <w:rPr>
          <w:rFonts w:eastAsiaTheme="minorEastAsia" w:cstheme="minorHAnsi"/>
          <w:color w:val="000000" w:themeColor="text1"/>
        </w:rPr>
        <w:t xml:space="preserve">High levels of course satisfaction will be </w:t>
      </w:r>
      <w:r w:rsidR="00DE2FB2">
        <w:rPr>
          <w:rFonts w:eastAsiaTheme="minorEastAsia" w:cstheme="minorHAnsi"/>
          <w:color w:val="000000" w:themeColor="text1"/>
        </w:rPr>
        <w:t>recorded</w:t>
      </w:r>
      <w:r w:rsidRPr="00725DF6">
        <w:rPr>
          <w:rFonts w:eastAsiaTheme="minorEastAsia" w:cstheme="minorHAnsi"/>
          <w:color w:val="000000" w:themeColor="text1"/>
        </w:rPr>
        <w:t xml:space="preserve"> by learners meaning that they have been guided onto the right course for their work and learning goals</w:t>
      </w:r>
      <w:r w:rsidR="00DE2FB2">
        <w:rPr>
          <w:rFonts w:eastAsiaTheme="minorEastAsia" w:cstheme="minorHAnsi"/>
          <w:color w:val="000000" w:themeColor="text1"/>
        </w:rPr>
        <w:t>.</w:t>
      </w:r>
    </w:p>
    <w:p w:rsidRPr="00725DF6" w:rsidR="005F0C81" w:rsidP="4ACF73B5" w:rsidRDefault="00725DF6" w14:paraId="2DE49F61" w14:textId="6D53BAF4">
      <w:pPr>
        <w:pStyle w:val="ListParagraph"/>
        <w:numPr>
          <w:ilvl w:val="0"/>
          <w:numId w:val="7"/>
        </w:numPr>
        <w:tabs>
          <w:tab w:val="left" w:pos="3640"/>
        </w:tabs>
        <w:spacing w:after="36" w:line="260" w:lineRule="auto"/>
        <w:rPr>
          <w:rFonts w:cs="Calibri" w:cstheme="minorAscii"/>
        </w:rPr>
      </w:pPr>
      <w:r w:rsidRPr="4ACF73B5" w:rsidR="00725DF6">
        <w:rPr>
          <w:rFonts w:eastAsia="" w:cs="Calibri" w:eastAsiaTheme="minorEastAsia" w:cstheme="minorAscii"/>
          <w:color w:val="000000" w:themeColor="text1" w:themeTint="FF" w:themeShade="FF"/>
        </w:rPr>
        <w:t xml:space="preserve">Good positive destination outcomes into further learning, employment, apprenticeships and other forms of work and study related progression will be </w:t>
      </w:r>
      <w:r w:rsidRPr="4ACF73B5" w:rsidR="00725DF6">
        <w:rPr>
          <w:rFonts w:eastAsia="" w:cs="Calibri" w:eastAsiaTheme="minorEastAsia" w:cstheme="minorAscii"/>
          <w:color w:val="000000" w:themeColor="text1" w:themeTint="FF" w:themeShade="FF"/>
        </w:rPr>
        <w:t>maintained</w:t>
      </w:r>
      <w:r w:rsidRPr="4ACF73B5" w:rsidR="00725DF6">
        <w:rPr>
          <w:rFonts w:eastAsia="" w:cs="Calibri" w:eastAsiaTheme="minorEastAsia" w:cstheme="minorAscii"/>
          <w:color w:val="000000" w:themeColor="text1" w:themeTint="FF" w:themeShade="FF"/>
        </w:rPr>
        <w:t>.</w:t>
      </w:r>
    </w:p>
    <w:p w:rsidR="085446BA" w:rsidP="5E74B02B" w:rsidRDefault="085446BA" w14:paraId="4C5AAAB3" w14:textId="16847D69">
      <w:pPr>
        <w:pStyle w:val="ListParagraph"/>
        <w:numPr>
          <w:ilvl w:val="0"/>
          <w:numId w:val="7"/>
        </w:numPr>
        <w:tabs>
          <w:tab w:val="left" w:leader="none" w:pos="3640"/>
        </w:tabs>
        <w:spacing w:after="36" w:line="260" w:lineRule="auto"/>
        <w:rPr>
          <w:rFonts w:cs="Calibri" w:cstheme="minorAscii"/>
          <w:color w:val="auto" w:themeColor="accent1" w:themeTint="FF" w:themeShade="FF"/>
        </w:rPr>
      </w:pPr>
      <w:r w:rsidRPr="5E74B02B" w:rsidR="085446BA">
        <w:rPr>
          <w:rFonts w:cs="Calibri" w:cstheme="minorAscii"/>
          <w:color w:val="auto"/>
        </w:rPr>
        <w:t>Recognition for ATTFE in local and national arenas</w:t>
      </w:r>
      <w:r w:rsidRPr="5E74B02B" w:rsidR="59248AD3">
        <w:rPr>
          <w:rFonts w:cs="Calibri" w:cstheme="minorAscii"/>
          <w:color w:val="auto"/>
        </w:rPr>
        <w:t xml:space="preserve"> based upon outcomes and Matri</w:t>
      </w:r>
      <w:r w:rsidRPr="5E74B02B" w:rsidR="0D7B5145">
        <w:rPr>
          <w:rFonts w:cs="Calibri" w:cstheme="minorAscii"/>
          <w:color w:val="auto"/>
        </w:rPr>
        <w:t>x</w:t>
      </w:r>
      <w:r w:rsidRPr="5E74B02B" w:rsidR="59248AD3">
        <w:rPr>
          <w:rFonts w:cs="Calibri" w:cstheme="minorAscii"/>
          <w:color w:val="auto"/>
        </w:rPr>
        <w:t xml:space="preserve"> accreditation</w:t>
      </w:r>
      <w:r w:rsidRPr="5E74B02B" w:rsidR="4FDAE11D">
        <w:rPr>
          <w:rFonts w:cs="Calibri" w:cstheme="minorAscii"/>
          <w:color w:val="auto"/>
        </w:rPr>
        <w:t xml:space="preserve"> </w:t>
      </w:r>
    </w:p>
    <w:sectPr w:rsidRPr="00725DF6" w:rsidR="005F0C81" w:rsidSect="00DA32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134" w:right="1134" w:bottom="1134" w:left="1134" w:header="709" w:footer="709" w:gutter="0"/>
      <w:pgBorders w:offsetFrom="page">
        <w:top w:val="double" w:color="FFC000" w:sz="4" w:space="24"/>
        <w:left w:val="double" w:color="FFC000" w:sz="4" w:space="24"/>
        <w:bottom w:val="double" w:color="FFC000" w:sz="4" w:space="24"/>
        <w:right w:val="double" w:color="FFC000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326A" w:rsidP="0045640E" w:rsidRDefault="00DA326A" w14:paraId="05F81B32" w14:textId="77777777">
      <w:pPr>
        <w:spacing w:after="0" w:line="240" w:lineRule="auto"/>
      </w:pPr>
      <w:r>
        <w:separator/>
      </w:r>
    </w:p>
  </w:endnote>
  <w:endnote w:type="continuationSeparator" w:id="0">
    <w:p w:rsidR="00DA326A" w:rsidP="0045640E" w:rsidRDefault="00DA326A" w14:paraId="722F9D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6C6C" w:rsidRDefault="00B76C6C" w14:paraId="2139F0B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B7DDC" w:rsidR="2B7990C2" w:rsidP="2B7990C2" w:rsidRDefault="4AE98BC1" w14:paraId="4DF7C46D" w14:textId="06E440D7">
    <w:pPr>
      <w:pStyle w:val="Footer"/>
      <w:rPr>
        <w:sz w:val="16"/>
        <w:szCs w:val="16"/>
      </w:rPr>
    </w:pPr>
    <w:r w:rsidRPr="799A6EF3" w:rsidR="799A6EF3">
      <w:rPr>
        <w:sz w:val="16"/>
        <w:szCs w:val="16"/>
      </w:rPr>
      <w:t xml:space="preserve">19. </w:t>
    </w:r>
    <w:r w:rsidRPr="799A6EF3" w:rsidR="799A6EF3">
      <w:rPr>
        <w:sz w:val="16"/>
        <w:szCs w:val="16"/>
      </w:rPr>
      <w:t xml:space="preserve">ATTFE </w:t>
    </w:r>
    <w:r w:rsidRPr="799A6EF3" w:rsidR="799A6EF3">
      <w:rPr>
        <w:sz w:val="16"/>
        <w:szCs w:val="16"/>
      </w:rPr>
      <w:t>CEIAG Strategy /</w:t>
    </w:r>
    <w:r w:rsidRPr="799A6EF3" w:rsidR="799A6EF3">
      <w:rPr>
        <w:sz w:val="16"/>
        <w:szCs w:val="16"/>
      </w:rPr>
      <w:t>Bowerman/</w:t>
    </w:r>
    <w:r w:rsidRPr="799A6EF3" w:rsidR="799A6EF3">
      <w:rPr>
        <w:sz w:val="16"/>
        <w:szCs w:val="16"/>
      </w:rPr>
      <w:t>25</w:t>
    </w:r>
    <w:r w:rsidRPr="799A6EF3" w:rsidR="799A6EF3">
      <w:rPr>
        <w:sz w:val="16"/>
        <w:szCs w:val="16"/>
      </w:rPr>
      <w:t>26</w:t>
    </w:r>
    <w:r w:rsidRPr="799A6EF3" w:rsidR="799A6EF3">
      <w:rPr>
        <w:sz w:val="16"/>
        <w:szCs w:val="16"/>
      </w:rPr>
      <w:t>/v1.</w:t>
    </w:r>
    <w:r w:rsidRPr="799A6EF3" w:rsidR="799A6EF3">
      <w:rPr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6C6C" w:rsidRDefault="00B76C6C" w14:paraId="5BD27E2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326A" w:rsidP="0045640E" w:rsidRDefault="00DA326A" w14:paraId="43218E53" w14:textId="77777777">
      <w:pPr>
        <w:spacing w:after="0" w:line="240" w:lineRule="auto"/>
      </w:pPr>
      <w:r>
        <w:separator/>
      </w:r>
    </w:p>
  </w:footnote>
  <w:footnote w:type="continuationSeparator" w:id="0">
    <w:p w:rsidR="00DA326A" w:rsidP="0045640E" w:rsidRDefault="00DA326A" w14:paraId="1F9DD9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6C6C" w:rsidRDefault="00B76C6C" w14:paraId="097527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2B7990C2" w:rsidP="2B7990C2" w:rsidRDefault="00901C93" w14:paraId="34CC93CB" w14:textId="4EC9A355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3FB73BDC" wp14:editId="288BC075">
              <wp:extent cx="304800" cy="304800"/>
              <wp:effectExtent l="0" t="0" r="0" b="0"/>
              <wp:docPr id="1" name="AutoShape 1" descr="See the source 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See the source image" o:spid="_x0000_s1026" filled="f" stroked="f" w14:anchorId="3501EB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6C6C" w:rsidRDefault="00B76C6C" w14:paraId="6546BA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00CE"/>
    <w:multiLevelType w:val="hybridMultilevel"/>
    <w:tmpl w:val="F626D4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705D1E"/>
    <w:multiLevelType w:val="hybridMultilevel"/>
    <w:tmpl w:val="C436F5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224666"/>
    <w:multiLevelType w:val="hybridMultilevel"/>
    <w:tmpl w:val="D8025F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CED61F7"/>
    <w:multiLevelType w:val="hybridMultilevel"/>
    <w:tmpl w:val="39A03D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7233A6F"/>
    <w:multiLevelType w:val="hybridMultilevel"/>
    <w:tmpl w:val="C56684F0"/>
    <w:lvl w:ilvl="0" w:tplc="935A8C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4A98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1C73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504A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C66A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EA0E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5434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D092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FE00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65413A"/>
    <w:multiLevelType w:val="hybridMultilevel"/>
    <w:tmpl w:val="355EBE9C"/>
    <w:lvl w:ilvl="0" w:tplc="0BECCE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9407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7063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E4FC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B6A0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40BA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C0A6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A69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E08A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9A4A7A"/>
    <w:multiLevelType w:val="hybridMultilevel"/>
    <w:tmpl w:val="BB6A83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2522613">
    <w:abstractNumId w:val="6"/>
  </w:num>
  <w:num w:numId="2" w16cid:durableId="484785716">
    <w:abstractNumId w:val="2"/>
  </w:num>
  <w:num w:numId="3" w16cid:durableId="555505298">
    <w:abstractNumId w:val="3"/>
  </w:num>
  <w:num w:numId="4" w16cid:durableId="992759938">
    <w:abstractNumId w:val="5"/>
  </w:num>
  <w:num w:numId="5" w16cid:durableId="1631478838">
    <w:abstractNumId w:val="4"/>
  </w:num>
  <w:num w:numId="6" w16cid:durableId="1018895711">
    <w:abstractNumId w:val="1"/>
  </w:num>
  <w:num w:numId="7" w16cid:durableId="141833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81"/>
    <w:rsid w:val="00044C4D"/>
    <w:rsid w:val="000B6851"/>
    <w:rsid w:val="001047E1"/>
    <w:rsid w:val="00130DF6"/>
    <w:rsid w:val="001803FD"/>
    <w:rsid w:val="001B5765"/>
    <w:rsid w:val="00207FFE"/>
    <w:rsid w:val="00240AE9"/>
    <w:rsid w:val="0025427C"/>
    <w:rsid w:val="00255F36"/>
    <w:rsid w:val="00275478"/>
    <w:rsid w:val="002E46CF"/>
    <w:rsid w:val="002E9792"/>
    <w:rsid w:val="003203B6"/>
    <w:rsid w:val="003930F4"/>
    <w:rsid w:val="003A1659"/>
    <w:rsid w:val="0045640E"/>
    <w:rsid w:val="00456B26"/>
    <w:rsid w:val="004F3632"/>
    <w:rsid w:val="004F44CB"/>
    <w:rsid w:val="005379A9"/>
    <w:rsid w:val="0054121B"/>
    <w:rsid w:val="00541FE9"/>
    <w:rsid w:val="0059069E"/>
    <w:rsid w:val="005966FB"/>
    <w:rsid w:val="0059689A"/>
    <w:rsid w:val="005D3C16"/>
    <w:rsid w:val="005F0C81"/>
    <w:rsid w:val="006113CE"/>
    <w:rsid w:val="006B098E"/>
    <w:rsid w:val="006B6849"/>
    <w:rsid w:val="007030F4"/>
    <w:rsid w:val="00725DF6"/>
    <w:rsid w:val="00782F1E"/>
    <w:rsid w:val="00790188"/>
    <w:rsid w:val="007C73D5"/>
    <w:rsid w:val="007F1F5A"/>
    <w:rsid w:val="008F5781"/>
    <w:rsid w:val="00901C93"/>
    <w:rsid w:val="00907D44"/>
    <w:rsid w:val="00980DB4"/>
    <w:rsid w:val="00995828"/>
    <w:rsid w:val="009A0521"/>
    <w:rsid w:val="009B38D0"/>
    <w:rsid w:val="009B6987"/>
    <w:rsid w:val="009E4C97"/>
    <w:rsid w:val="00A245EF"/>
    <w:rsid w:val="00A437D8"/>
    <w:rsid w:val="00A54C99"/>
    <w:rsid w:val="00AC3DAD"/>
    <w:rsid w:val="00AD15E9"/>
    <w:rsid w:val="00B01CB2"/>
    <w:rsid w:val="00B31228"/>
    <w:rsid w:val="00B76C6C"/>
    <w:rsid w:val="00BB667A"/>
    <w:rsid w:val="00BF0615"/>
    <w:rsid w:val="00CB7DDC"/>
    <w:rsid w:val="00DA326A"/>
    <w:rsid w:val="00DB5A13"/>
    <w:rsid w:val="00DC47CB"/>
    <w:rsid w:val="00DE2FB2"/>
    <w:rsid w:val="00EA47ED"/>
    <w:rsid w:val="00F57440"/>
    <w:rsid w:val="00F62C7A"/>
    <w:rsid w:val="00F664ED"/>
    <w:rsid w:val="00FA0585"/>
    <w:rsid w:val="00FE1DB1"/>
    <w:rsid w:val="01CA67F3"/>
    <w:rsid w:val="03663854"/>
    <w:rsid w:val="037CA001"/>
    <w:rsid w:val="04B8674B"/>
    <w:rsid w:val="050208B5"/>
    <w:rsid w:val="0588DDF5"/>
    <w:rsid w:val="05CCD26F"/>
    <w:rsid w:val="065437AC"/>
    <w:rsid w:val="07410666"/>
    <w:rsid w:val="07854DCD"/>
    <w:rsid w:val="07A61E32"/>
    <w:rsid w:val="085446BA"/>
    <w:rsid w:val="0862BEB7"/>
    <w:rsid w:val="08D6DE37"/>
    <w:rsid w:val="09BC517B"/>
    <w:rsid w:val="0C63B401"/>
    <w:rsid w:val="0C6A7297"/>
    <w:rsid w:val="0CF4048B"/>
    <w:rsid w:val="0D2702E6"/>
    <w:rsid w:val="0D362FDA"/>
    <w:rsid w:val="0D7B5145"/>
    <w:rsid w:val="0E831B32"/>
    <w:rsid w:val="0ECA648A"/>
    <w:rsid w:val="0F461FBB"/>
    <w:rsid w:val="11541BFB"/>
    <w:rsid w:val="15A03269"/>
    <w:rsid w:val="16FE593A"/>
    <w:rsid w:val="170B47AB"/>
    <w:rsid w:val="17DDD1CB"/>
    <w:rsid w:val="17E098B6"/>
    <w:rsid w:val="196CA574"/>
    <w:rsid w:val="19978D1B"/>
    <w:rsid w:val="1A817257"/>
    <w:rsid w:val="1AF26830"/>
    <w:rsid w:val="1E21CD4F"/>
    <w:rsid w:val="1EBB3C28"/>
    <w:rsid w:val="1EC2B004"/>
    <w:rsid w:val="210CEE35"/>
    <w:rsid w:val="2403AD05"/>
    <w:rsid w:val="25379BF4"/>
    <w:rsid w:val="26E530C3"/>
    <w:rsid w:val="26F65BFC"/>
    <w:rsid w:val="27CDD080"/>
    <w:rsid w:val="27D0A8AC"/>
    <w:rsid w:val="28FED7BD"/>
    <w:rsid w:val="29B9C12E"/>
    <w:rsid w:val="29D741EE"/>
    <w:rsid w:val="2A5A8755"/>
    <w:rsid w:val="2B55918F"/>
    <w:rsid w:val="2B7340E7"/>
    <w:rsid w:val="2B7990C2"/>
    <w:rsid w:val="2BBF1EEC"/>
    <w:rsid w:val="2CC06128"/>
    <w:rsid w:val="2CEFC2C8"/>
    <w:rsid w:val="2D950683"/>
    <w:rsid w:val="2DC26FD8"/>
    <w:rsid w:val="2DD248E0"/>
    <w:rsid w:val="2DF723C2"/>
    <w:rsid w:val="2EA76165"/>
    <w:rsid w:val="2F2C7C51"/>
    <w:rsid w:val="2F6E1941"/>
    <w:rsid w:val="309F2F62"/>
    <w:rsid w:val="311B8079"/>
    <w:rsid w:val="323AFFC3"/>
    <w:rsid w:val="3309D804"/>
    <w:rsid w:val="331870AD"/>
    <w:rsid w:val="3362C234"/>
    <w:rsid w:val="33DCF901"/>
    <w:rsid w:val="34CD9AA2"/>
    <w:rsid w:val="34F46D6C"/>
    <w:rsid w:val="36238D3E"/>
    <w:rsid w:val="370E70E6"/>
    <w:rsid w:val="38AA4147"/>
    <w:rsid w:val="3962E8B5"/>
    <w:rsid w:val="39D74EFD"/>
    <w:rsid w:val="3A0D916C"/>
    <w:rsid w:val="3A4611A8"/>
    <w:rsid w:val="3B6E3A5E"/>
    <w:rsid w:val="3B731F5E"/>
    <w:rsid w:val="3C203748"/>
    <w:rsid w:val="3C275E33"/>
    <w:rsid w:val="3C328562"/>
    <w:rsid w:val="3CB50888"/>
    <w:rsid w:val="3F6FF232"/>
    <w:rsid w:val="40469081"/>
    <w:rsid w:val="40ADDE76"/>
    <w:rsid w:val="40D66573"/>
    <w:rsid w:val="4209C275"/>
    <w:rsid w:val="427235D4"/>
    <w:rsid w:val="437E3143"/>
    <w:rsid w:val="43AFA0C0"/>
    <w:rsid w:val="446BF496"/>
    <w:rsid w:val="46EDA374"/>
    <w:rsid w:val="4754FF5F"/>
    <w:rsid w:val="47672BE4"/>
    <w:rsid w:val="477E1419"/>
    <w:rsid w:val="477F1827"/>
    <w:rsid w:val="480D2EF8"/>
    <w:rsid w:val="485768DE"/>
    <w:rsid w:val="48B231C5"/>
    <w:rsid w:val="497A6333"/>
    <w:rsid w:val="4A05B9E7"/>
    <w:rsid w:val="4ACF73B5"/>
    <w:rsid w:val="4AE98BC1"/>
    <w:rsid w:val="4B163394"/>
    <w:rsid w:val="4B6D8402"/>
    <w:rsid w:val="4CCCD287"/>
    <w:rsid w:val="4D18D976"/>
    <w:rsid w:val="4D91D39C"/>
    <w:rsid w:val="4DB01153"/>
    <w:rsid w:val="4DD65958"/>
    <w:rsid w:val="4E6DF572"/>
    <w:rsid w:val="4F02B798"/>
    <w:rsid w:val="4F37907F"/>
    <w:rsid w:val="4FDAE11D"/>
    <w:rsid w:val="503DB3C1"/>
    <w:rsid w:val="51891460"/>
    <w:rsid w:val="52260E46"/>
    <w:rsid w:val="5246AA44"/>
    <w:rsid w:val="53771AA0"/>
    <w:rsid w:val="538E96C7"/>
    <w:rsid w:val="55EA2314"/>
    <w:rsid w:val="566E5536"/>
    <w:rsid w:val="568B3656"/>
    <w:rsid w:val="57CB1319"/>
    <w:rsid w:val="58CB0CDF"/>
    <w:rsid w:val="5913F545"/>
    <w:rsid w:val="59248AD3"/>
    <w:rsid w:val="5A57CD78"/>
    <w:rsid w:val="5AA4E664"/>
    <w:rsid w:val="5AABF3B4"/>
    <w:rsid w:val="5ACD068A"/>
    <w:rsid w:val="5B457F1C"/>
    <w:rsid w:val="5BDE0A47"/>
    <w:rsid w:val="5CE14F7D"/>
    <w:rsid w:val="5D27DA07"/>
    <w:rsid w:val="5D5E540D"/>
    <w:rsid w:val="5E09FD1C"/>
    <w:rsid w:val="5E212C40"/>
    <w:rsid w:val="5E2525C7"/>
    <w:rsid w:val="5E74B02B"/>
    <w:rsid w:val="5FABCA1D"/>
    <w:rsid w:val="5FBCFCA1"/>
    <w:rsid w:val="5FDB398F"/>
    <w:rsid w:val="60BBF38A"/>
    <w:rsid w:val="612C0B6A"/>
    <w:rsid w:val="62E3A182"/>
    <w:rsid w:val="6468372B"/>
    <w:rsid w:val="659FFA51"/>
    <w:rsid w:val="65EFA78D"/>
    <w:rsid w:val="6616F1A4"/>
    <w:rsid w:val="6628D154"/>
    <w:rsid w:val="673F6258"/>
    <w:rsid w:val="6756C732"/>
    <w:rsid w:val="67C5B421"/>
    <w:rsid w:val="684D32CE"/>
    <w:rsid w:val="69A259CD"/>
    <w:rsid w:val="69E3825A"/>
    <w:rsid w:val="6A57A1DA"/>
    <w:rsid w:val="6A648EA3"/>
    <w:rsid w:val="6AD8E8D2"/>
    <w:rsid w:val="6AFC4277"/>
    <w:rsid w:val="6C9812D8"/>
    <w:rsid w:val="6F4B18DA"/>
    <w:rsid w:val="6FCFB39A"/>
    <w:rsid w:val="7045BC6C"/>
    <w:rsid w:val="709A272B"/>
    <w:rsid w:val="715FE065"/>
    <w:rsid w:val="71999193"/>
    <w:rsid w:val="7307545C"/>
    <w:rsid w:val="75813795"/>
    <w:rsid w:val="7629BB97"/>
    <w:rsid w:val="7828EB17"/>
    <w:rsid w:val="78517214"/>
    <w:rsid w:val="79615C59"/>
    <w:rsid w:val="799A6EF3"/>
    <w:rsid w:val="7A74B66C"/>
    <w:rsid w:val="7B48586F"/>
    <w:rsid w:val="7D1AF6B5"/>
    <w:rsid w:val="7D669FAE"/>
    <w:rsid w:val="7E4C4EE0"/>
    <w:rsid w:val="7EB6C716"/>
    <w:rsid w:val="7ED024D6"/>
    <w:rsid w:val="7FAB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C7EA4"/>
  <w15:chartTrackingRefBased/>
  <w15:docId w15:val="{C55AD18C-0123-48AA-9B2C-D18C1A36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DF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40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640E"/>
  </w:style>
  <w:style w:type="paragraph" w:styleId="Footer">
    <w:name w:val="footer"/>
    <w:basedOn w:val="Normal"/>
    <w:link w:val="FooterChar"/>
    <w:uiPriority w:val="99"/>
    <w:unhideWhenUsed/>
    <w:rsid w:val="0045640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640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7C73D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C73D5"/>
    <w:rPr>
      <w:i/>
      <w:iCs/>
    </w:rPr>
  </w:style>
  <w:style w:type="character" w:styleId="Heading1Char" w:customStyle="1">
    <w:name w:val="Heading 1 Char"/>
    <w:basedOn w:val="DefaultParagraphFont"/>
    <w:link w:val="Heading1"/>
    <w:uiPriority w:val="9"/>
    <w:rsid w:val="00725DF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61476F909C14E8F36390ED66E4D00" ma:contentTypeVersion="10" ma:contentTypeDescription="Create a new document." ma:contentTypeScope="" ma:versionID="68fc58fe11395a51223700f3a11947e4">
  <xsd:schema xmlns:xsd="http://www.w3.org/2001/XMLSchema" xmlns:xs="http://www.w3.org/2001/XMLSchema" xmlns:p="http://schemas.microsoft.com/office/2006/metadata/properties" xmlns:ns2="8802214b-038d-461a-9844-6cf33e49e34b" xmlns:ns3="43b337bf-80c2-4cb3-b87e-958a5ec2569c" targetNamespace="http://schemas.microsoft.com/office/2006/metadata/properties" ma:root="true" ma:fieldsID="8d038eeca3a742348b37b459bc4ee9d5" ns2:_="" ns3:_="">
    <xsd:import namespace="8802214b-038d-461a-9844-6cf33e49e34b"/>
    <xsd:import namespace="43b337bf-80c2-4cb3-b87e-958a5ec25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2214b-038d-461a-9844-6cf33e49e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3f56c02-7c64-4bed-9082-e4e79dfda2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337bf-80c2-4cb3-b87e-958a5ec256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6ec780-1878-4cb9-ad74-4a3883da8b7a}" ma:internalName="TaxCatchAll" ma:showField="CatchAllData" ma:web="43b337bf-80c2-4cb3-b87e-958a5ec25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02214b-038d-461a-9844-6cf33e49e34b">
      <Terms xmlns="http://schemas.microsoft.com/office/infopath/2007/PartnerControls"/>
    </lcf76f155ced4ddcb4097134ff3c332f>
    <TaxCatchAll xmlns="43b337bf-80c2-4cb3-b87e-958a5ec256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2BAE3-3AC4-4F3A-887E-56D4CDF8A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2214b-038d-461a-9844-6cf33e49e34b"/>
    <ds:schemaRef ds:uri="43b337bf-80c2-4cb3-b87e-958a5ec25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2014A-8FAC-4844-8B80-2742F2D0B7F7}">
  <ds:schemaRefs>
    <ds:schemaRef ds:uri="http://schemas.microsoft.com/office/2006/metadata/properties"/>
    <ds:schemaRef ds:uri="http://schemas.microsoft.com/office/infopath/2007/PartnerControls"/>
    <ds:schemaRef ds:uri="8802214b-038d-461a-9844-6cf33e49e34b"/>
    <ds:schemaRef ds:uri="43b337bf-80c2-4cb3-b87e-958a5ec2569c"/>
  </ds:schemaRefs>
</ds:datastoreItem>
</file>

<file path=customXml/itemProps3.xml><?xml version="1.0" encoding="utf-8"?>
<ds:datastoreItem xmlns:ds="http://schemas.openxmlformats.org/officeDocument/2006/customXml" ds:itemID="{FC8B7037-49A6-4673-9AB9-5FED0AEF47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F372E-052A-42E2-AE04-ED247572D9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Debbie Wyld</dc:creator>
  <keywords/>
  <dc:description/>
  <lastModifiedBy>Heather Bowerman (Staff - ATTFE)</lastModifiedBy>
  <revision>9</revision>
  <dcterms:created xsi:type="dcterms:W3CDTF">2024-02-09T18:22:00.0000000Z</dcterms:created>
  <dcterms:modified xsi:type="dcterms:W3CDTF">2025-09-11T10:28:38.0822160Z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0x010100C7D61476F909C14E8F36390ED66E4D00</vt:lpwstr>
  </property>
  <property fmtid="{D5CDD505-2E9C-101B-9397-08002B2CF9AE}" pid="3" name="MediaServiceImageTags">
    <vt:lpwstr/>
  </property>
</Properties>
</file>